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A8" w:rsidRPr="00EC70CF" w:rsidRDefault="002569A8" w:rsidP="002569A8">
      <w:pPr>
        <w:spacing w:after="0" w:line="240" w:lineRule="auto"/>
        <w:jc w:val="center"/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</w:pPr>
      <w:r w:rsidRPr="00EC70CF">
        <w:rPr>
          <w:rFonts w:ascii="Rockwell" w:hAnsi="Rockwell" w:cs="Times New Roman"/>
          <w:noProof/>
          <w:color w:val="000000" w:themeColor="text1"/>
          <w:sz w:val="32"/>
          <w:szCs w:val="32"/>
          <w:lang w:val="en-US"/>
        </w:rPr>
        <w:drawing>
          <wp:inline distT="0" distB="0" distL="0" distR="0">
            <wp:extent cx="775194" cy="777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EXI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07" cy="78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BA6" w:rsidRPr="00EC70CF" w:rsidRDefault="00B27BA6" w:rsidP="002569A8">
      <w:pPr>
        <w:spacing w:after="0" w:line="240" w:lineRule="auto"/>
        <w:jc w:val="center"/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</w:pPr>
    </w:p>
    <w:p w:rsidR="00B27BA6" w:rsidRPr="00EC70CF" w:rsidRDefault="001C780A" w:rsidP="002569A8">
      <w:pPr>
        <w:spacing w:after="0" w:line="240" w:lineRule="auto"/>
        <w:jc w:val="center"/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 xml:space="preserve">EXPORT REVIEW OF </w:t>
      </w:r>
      <w:r w:rsidR="00AA7AB7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>CAPEXIL</w:t>
      </w:r>
      <w:r w:rsidRPr="00EC70CF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 xml:space="preserve">’S PRODUCTS FOR THE </w:t>
      </w:r>
    </w:p>
    <w:p w:rsidR="00895B50" w:rsidRPr="00EC70CF" w:rsidRDefault="00D32DE1" w:rsidP="002569A8">
      <w:pPr>
        <w:spacing w:after="0" w:line="240" w:lineRule="auto"/>
        <w:jc w:val="center"/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>MONTH</w:t>
      </w:r>
      <w:r w:rsidR="005C2A0A" w:rsidRPr="00EC70CF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 xml:space="preserve"> OF</w:t>
      </w:r>
      <w:r w:rsidRPr="00EC70CF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030829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>APR</w:t>
      </w:r>
      <w:r w:rsidR="00744EAD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>IL</w:t>
      </w:r>
      <w:r w:rsidR="00A639BD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>-</w:t>
      </w:r>
      <w:r w:rsidR="009C6957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>FEBRUARY</w:t>
      </w:r>
      <w:r w:rsidR="006B4505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583363">
        <w:rPr>
          <w:rFonts w:ascii="Rockwell" w:hAnsi="Rockwell" w:cs="Times New Roman"/>
          <w:b/>
          <w:color w:val="000000" w:themeColor="text1"/>
          <w:sz w:val="32"/>
          <w:szCs w:val="32"/>
          <w:u w:val="single"/>
        </w:rPr>
        <w:t>2023</w:t>
      </w:r>
    </w:p>
    <w:p w:rsidR="007B02E3" w:rsidRPr="00EC70CF" w:rsidRDefault="007B02E3" w:rsidP="00D36932">
      <w:pPr>
        <w:autoSpaceDE w:val="0"/>
        <w:autoSpaceDN w:val="0"/>
        <w:adjustRightInd w:val="0"/>
        <w:spacing w:after="0"/>
        <w:jc w:val="both"/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</w:pPr>
    </w:p>
    <w:p w:rsidR="00EE4FE0" w:rsidRPr="00EC70CF" w:rsidRDefault="00D7046B" w:rsidP="000325A4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Calibri-Light"/>
          <w:b/>
          <w:color w:val="000000" w:themeColor="text1"/>
          <w:sz w:val="28"/>
          <w:szCs w:val="28"/>
        </w:rPr>
      </w:pPr>
      <w:r w:rsidRPr="00EC70CF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 xml:space="preserve">TREND IN </w:t>
      </w:r>
      <w:r w:rsidR="00AA7AB7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CAPEXIL</w:t>
      </w:r>
      <w:r w:rsidRPr="00EC70CF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 xml:space="preserve">’S EXPORTS – </w:t>
      </w:r>
      <w:r w:rsidR="00030829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APR</w:t>
      </w:r>
      <w:r w:rsidR="00744EAD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IL</w:t>
      </w:r>
      <w:r w:rsidR="00A639BD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-</w:t>
      </w:r>
      <w:r w:rsidR="009C6957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FEBRUARY</w:t>
      </w:r>
      <w:r w:rsidR="006B4505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 xml:space="preserve"> </w:t>
      </w:r>
      <w:r w:rsidR="00CB2E3B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20</w:t>
      </w:r>
      <w:r w:rsidR="00D32DE1" w:rsidRPr="00EC70CF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2</w:t>
      </w:r>
      <w:r w:rsidR="006B4505">
        <w:rPr>
          <w:rFonts w:ascii="Rockwell" w:hAnsi="Rockwell" w:cs="Calibri-Light"/>
          <w:b/>
          <w:color w:val="000000" w:themeColor="text1"/>
          <w:sz w:val="28"/>
          <w:szCs w:val="28"/>
          <w:u w:val="single"/>
        </w:rPr>
        <w:t>3</w:t>
      </w:r>
    </w:p>
    <w:p w:rsidR="00D7046B" w:rsidRPr="00EC70CF" w:rsidRDefault="00624C49" w:rsidP="000325A4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Calibri-Light"/>
          <w:color w:val="000000" w:themeColor="text1"/>
          <w:szCs w:val="28"/>
        </w:rPr>
      </w:pPr>
      <w:r w:rsidRPr="00EC70CF">
        <w:rPr>
          <w:rFonts w:ascii="Rockwell" w:hAnsi="Rockwell" w:cs="Calibri-Light"/>
          <w:color w:val="000000" w:themeColor="text1"/>
          <w:szCs w:val="28"/>
        </w:rPr>
        <w:t>(Data Source: MOC)</w:t>
      </w:r>
    </w:p>
    <w:p w:rsidR="00EC633B" w:rsidRPr="00EC70CF" w:rsidRDefault="00EC633B" w:rsidP="000325A4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Calibri-Light"/>
          <w:b/>
          <w:color w:val="000000" w:themeColor="text1"/>
          <w:szCs w:val="28"/>
          <w:u w:val="single"/>
        </w:rPr>
      </w:pPr>
    </w:p>
    <w:tbl>
      <w:tblPr>
        <w:tblW w:w="11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949"/>
        <w:gridCol w:w="949"/>
        <w:gridCol w:w="946"/>
        <w:gridCol w:w="1101"/>
        <w:gridCol w:w="1084"/>
        <w:gridCol w:w="946"/>
      </w:tblGrid>
      <w:tr w:rsidR="00302266" w:rsidRPr="000A52DF" w:rsidTr="00583363">
        <w:trPr>
          <w:trHeight w:val="292"/>
          <w:jc w:val="center"/>
        </w:trPr>
        <w:tc>
          <w:tcPr>
            <w:tcW w:w="11024" w:type="dxa"/>
            <w:gridSpan w:val="7"/>
            <w:shd w:val="clear" w:color="auto" w:fill="548DD4" w:themeFill="text2" w:themeFillTint="99"/>
            <w:noWrap/>
            <w:vAlign w:val="center"/>
          </w:tcPr>
          <w:p w:rsidR="00302266" w:rsidRPr="000A52DF" w:rsidRDefault="00302266" w:rsidP="009C6957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 xml:space="preserve">PANEL WISE EXPORTS OF </w:t>
            </w:r>
            <w:r w:rsidR="00AA7AB7"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CAPEXIL</w:t>
            </w: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 xml:space="preserve"> DURING </w:t>
            </w:r>
            <w:r w:rsidR="00030829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APR</w:t>
            </w:r>
            <w:r w:rsidR="00744EAD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IL</w:t>
            </w: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FEBRUARY</w:t>
            </w: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 xml:space="preserve"> 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2023</w:t>
            </w: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-2</w:t>
            </w:r>
            <w:r w:rsidR="006B4505"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3</w:t>
            </w:r>
          </w:p>
        </w:tc>
      </w:tr>
      <w:tr w:rsidR="00302266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548DD4" w:themeFill="text2" w:themeFillTint="99"/>
            <w:noWrap/>
            <w:vAlign w:val="center"/>
            <w:hideMark/>
          </w:tcPr>
          <w:p w:rsidR="00302266" w:rsidRPr="000A52DF" w:rsidRDefault="00302266" w:rsidP="00F845D8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Name of the Panels</w:t>
            </w:r>
          </w:p>
        </w:tc>
        <w:tc>
          <w:tcPr>
            <w:tcW w:w="949" w:type="dxa"/>
            <w:shd w:val="clear" w:color="auto" w:fill="548DD4" w:themeFill="text2" w:themeFillTint="99"/>
            <w:noWrap/>
            <w:vAlign w:val="center"/>
            <w:hideMark/>
          </w:tcPr>
          <w:p w:rsidR="00302266" w:rsidRPr="000A52DF" w:rsidRDefault="009C6957" w:rsidP="006B4505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FEB</w:t>
            </w:r>
            <w:r w:rsidR="009439C2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2022</w:t>
            </w:r>
          </w:p>
        </w:tc>
        <w:tc>
          <w:tcPr>
            <w:tcW w:w="949" w:type="dxa"/>
            <w:shd w:val="clear" w:color="auto" w:fill="548DD4" w:themeFill="text2" w:themeFillTint="99"/>
            <w:noWrap/>
            <w:vAlign w:val="center"/>
            <w:hideMark/>
          </w:tcPr>
          <w:p w:rsidR="00302266" w:rsidRPr="000A52DF" w:rsidRDefault="009C6957" w:rsidP="006B4505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FEB</w:t>
            </w:r>
            <w:r w:rsidR="009439C2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2023</w:t>
            </w:r>
          </w:p>
        </w:tc>
        <w:tc>
          <w:tcPr>
            <w:tcW w:w="946" w:type="dxa"/>
            <w:shd w:val="clear" w:color="auto" w:fill="548DD4" w:themeFill="text2" w:themeFillTint="99"/>
            <w:vAlign w:val="center"/>
          </w:tcPr>
          <w:p w:rsidR="00302266" w:rsidRPr="000A52DF" w:rsidRDefault="00302266" w:rsidP="002E59D0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% Growth</w:t>
            </w:r>
          </w:p>
        </w:tc>
        <w:tc>
          <w:tcPr>
            <w:tcW w:w="1101" w:type="dxa"/>
            <w:shd w:val="clear" w:color="auto" w:fill="548DD4" w:themeFill="text2" w:themeFillTint="99"/>
            <w:vAlign w:val="center"/>
          </w:tcPr>
          <w:p w:rsidR="00302266" w:rsidRPr="000A52DF" w:rsidRDefault="00030829" w:rsidP="009439C2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APR</w:t>
            </w:r>
            <w:r w:rsidR="009439C2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FEB</w:t>
            </w:r>
            <w:r w:rsidR="009439C2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2022</w:t>
            </w:r>
          </w:p>
        </w:tc>
        <w:tc>
          <w:tcPr>
            <w:tcW w:w="1084" w:type="dxa"/>
            <w:shd w:val="clear" w:color="auto" w:fill="548DD4" w:themeFill="text2" w:themeFillTint="99"/>
            <w:vAlign w:val="center"/>
          </w:tcPr>
          <w:p w:rsidR="00302266" w:rsidRPr="000A52DF" w:rsidRDefault="00030829" w:rsidP="00FC12EB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APR</w:t>
            </w:r>
            <w:r w:rsidR="00302266"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FEB</w:t>
            </w:r>
            <w:r w:rsidR="009439C2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2023</w:t>
            </w:r>
          </w:p>
        </w:tc>
        <w:tc>
          <w:tcPr>
            <w:tcW w:w="946" w:type="dxa"/>
            <w:shd w:val="clear" w:color="auto" w:fill="548DD4" w:themeFill="text2" w:themeFillTint="99"/>
            <w:vAlign w:val="center"/>
          </w:tcPr>
          <w:p w:rsidR="00302266" w:rsidRPr="000A52DF" w:rsidRDefault="00302266" w:rsidP="002E59D0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% Growth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8DB3E2" w:themeFill="text2" w:themeFillTint="66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Minerals &amp; Ores</w:t>
            </w:r>
          </w:p>
        </w:tc>
        <w:tc>
          <w:tcPr>
            <w:tcW w:w="949" w:type="dxa"/>
            <w:shd w:val="clear" w:color="auto" w:fill="8DB3E2" w:themeFill="text2" w:themeFillTint="66"/>
            <w:noWrap/>
            <w:vAlign w:val="center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1141.35</w:t>
            </w:r>
          </w:p>
        </w:tc>
        <w:tc>
          <w:tcPr>
            <w:tcW w:w="949" w:type="dxa"/>
            <w:shd w:val="clear" w:color="auto" w:fill="8DB3E2" w:themeFill="text2" w:themeFillTint="66"/>
            <w:noWrap/>
            <w:vAlign w:val="center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1103.97</w:t>
            </w:r>
          </w:p>
        </w:tc>
        <w:tc>
          <w:tcPr>
            <w:tcW w:w="946" w:type="dxa"/>
            <w:shd w:val="clear" w:color="auto" w:fill="8DB3E2" w:themeFill="text2" w:themeFillTint="66"/>
            <w:vAlign w:val="center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-3.27</w:t>
            </w:r>
          </w:p>
        </w:tc>
        <w:tc>
          <w:tcPr>
            <w:tcW w:w="1101" w:type="dxa"/>
            <w:shd w:val="clear" w:color="auto" w:fill="8DB3E2" w:themeFill="text2" w:themeFillTint="66"/>
            <w:vAlign w:val="center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12065.48</w:t>
            </w:r>
          </w:p>
        </w:tc>
        <w:tc>
          <w:tcPr>
            <w:tcW w:w="1084" w:type="dxa"/>
            <w:shd w:val="clear" w:color="auto" w:fill="8DB3E2" w:themeFill="text2" w:themeFillTint="66"/>
            <w:vAlign w:val="center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9992.16</w:t>
            </w:r>
          </w:p>
        </w:tc>
        <w:tc>
          <w:tcPr>
            <w:tcW w:w="946" w:type="dxa"/>
            <w:shd w:val="clear" w:color="auto" w:fill="8DB3E2" w:themeFill="text2" w:themeFillTint="66"/>
            <w:vAlign w:val="center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-17.18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Bulk Minerals and Ores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841.81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749.77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-10.93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8697.86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6580.72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-24.34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Natural Stones and Products Panel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197.60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176.55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-10.65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2153.88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1885.65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-12.45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Processed Minerals Panel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101.94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177.65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74.27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1213.74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1525.78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25.71</w:t>
            </w:r>
          </w:p>
        </w:tc>
      </w:tr>
      <w:tr w:rsidR="0016017D" w:rsidRPr="000A52DF" w:rsidTr="00FE7836">
        <w:trPr>
          <w:trHeight w:val="292"/>
          <w:jc w:val="center"/>
        </w:trPr>
        <w:tc>
          <w:tcPr>
            <w:tcW w:w="5049" w:type="dxa"/>
            <w:shd w:val="clear" w:color="auto" w:fill="8DB3E2" w:themeFill="text2" w:themeFillTint="66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Non-Minerals</w:t>
            </w:r>
          </w:p>
        </w:tc>
        <w:tc>
          <w:tcPr>
            <w:tcW w:w="949" w:type="dxa"/>
            <w:shd w:val="clear" w:color="auto" w:fill="8DB3E2" w:themeFill="text2" w:themeFillTint="66"/>
            <w:noWrap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1454.27</w:t>
            </w:r>
          </w:p>
        </w:tc>
        <w:tc>
          <w:tcPr>
            <w:tcW w:w="949" w:type="dxa"/>
            <w:shd w:val="clear" w:color="auto" w:fill="8DB3E2" w:themeFill="text2" w:themeFillTint="66"/>
            <w:noWrap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1406.26</w:t>
            </w:r>
          </w:p>
        </w:tc>
        <w:tc>
          <w:tcPr>
            <w:tcW w:w="946" w:type="dxa"/>
            <w:shd w:val="clear" w:color="auto" w:fill="8DB3E2" w:themeFill="text2" w:themeFillTint="66"/>
            <w:vAlign w:val="center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-3.30</w:t>
            </w:r>
          </w:p>
        </w:tc>
        <w:tc>
          <w:tcPr>
            <w:tcW w:w="1101" w:type="dxa"/>
            <w:shd w:val="clear" w:color="auto" w:fill="8DB3E2" w:themeFill="text2" w:themeFillTint="66"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15431.41</w:t>
            </w:r>
          </w:p>
        </w:tc>
        <w:tc>
          <w:tcPr>
            <w:tcW w:w="1084" w:type="dxa"/>
            <w:shd w:val="clear" w:color="auto" w:fill="8DB3E2" w:themeFill="text2" w:themeFillTint="66"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16046.49</w:t>
            </w:r>
          </w:p>
        </w:tc>
        <w:tc>
          <w:tcPr>
            <w:tcW w:w="946" w:type="dxa"/>
            <w:shd w:val="clear" w:color="auto" w:fill="8DB3E2" w:themeFill="text2" w:themeFillTint="66"/>
            <w:vAlign w:val="center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3.99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Paper, Paper Board and Products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277.50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206.39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-25.63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2921.51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2779.85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-4.85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Auto Tyres and Tubes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242.87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220.34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-9.28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2635.06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2722.40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3.31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Ceramics and Allied Products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197.30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251.04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27.24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2233.46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2497.93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11.84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Rubber Products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160.11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157.42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-1.68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1650.19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1793.43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8.68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Paints, Printing Ink and Allied Products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150.50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130.99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-12.96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1559.04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1488.94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-4.50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Plywood and Allied Products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110.00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95.62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-13.07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1204.66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1050.11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-12.83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Glass and Glassware Panel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74.98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81.08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8.14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843.12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1014.44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20.32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Miscellaneous Products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63.58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77.37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21.69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626.34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774.59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23.67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Graphite, Explosives and Accessories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39.80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72.83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83.01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395.18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592.56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49.95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Cement, Clinkers and Asbestos Cement Products Panel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60.99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43.66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-28.42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614.14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558.92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-8.99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 xml:space="preserve">Animal By Products Panel 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37.22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31.31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-15.89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374.43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362.29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-3.24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Books, Publications and Printing Panel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33.47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31.23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-6.70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313.98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339.70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8.19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Ossein and Gelatine Panel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5.96</w:t>
            </w:r>
          </w:p>
        </w:tc>
        <w:tc>
          <w:tcPr>
            <w:tcW w:w="949" w:type="dxa"/>
            <w:shd w:val="clear" w:color="auto" w:fill="auto"/>
            <w:noWrap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6.98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17.13</w:t>
            </w:r>
          </w:p>
        </w:tc>
        <w:tc>
          <w:tcPr>
            <w:tcW w:w="1101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60.29</w:t>
            </w:r>
          </w:p>
        </w:tc>
        <w:tc>
          <w:tcPr>
            <w:tcW w:w="1084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71.33</w:t>
            </w:r>
          </w:p>
        </w:tc>
        <w:tc>
          <w:tcPr>
            <w:tcW w:w="946" w:type="dxa"/>
            <w:vAlign w:val="bottom"/>
          </w:tcPr>
          <w:p w:rsidR="0016017D" w:rsidRPr="0016017D" w:rsidRDefault="0016017D" w:rsidP="0016017D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16017D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18.30</w:t>
            </w:r>
          </w:p>
        </w:tc>
      </w:tr>
      <w:tr w:rsidR="0016017D" w:rsidRPr="000A52DF" w:rsidTr="00583363">
        <w:trPr>
          <w:trHeight w:val="292"/>
          <w:jc w:val="center"/>
        </w:trPr>
        <w:tc>
          <w:tcPr>
            <w:tcW w:w="5049" w:type="dxa"/>
            <w:shd w:val="clear" w:color="auto" w:fill="8DB3E2" w:themeFill="text2" w:themeFillTint="66"/>
            <w:noWrap/>
            <w:vAlign w:val="bottom"/>
            <w:hideMark/>
          </w:tcPr>
          <w:p w:rsidR="0016017D" w:rsidRPr="000A52DF" w:rsidRDefault="0016017D" w:rsidP="0016017D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0A52DF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 Total Exports</w:t>
            </w:r>
          </w:p>
        </w:tc>
        <w:tc>
          <w:tcPr>
            <w:tcW w:w="949" w:type="dxa"/>
            <w:shd w:val="clear" w:color="auto" w:fill="8DB3E2" w:themeFill="text2" w:themeFillTint="66"/>
            <w:noWrap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2595.62</w:t>
            </w:r>
          </w:p>
        </w:tc>
        <w:tc>
          <w:tcPr>
            <w:tcW w:w="949" w:type="dxa"/>
            <w:shd w:val="clear" w:color="auto" w:fill="8DB3E2" w:themeFill="text2" w:themeFillTint="66"/>
            <w:noWrap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2510.23</w:t>
            </w:r>
          </w:p>
        </w:tc>
        <w:tc>
          <w:tcPr>
            <w:tcW w:w="946" w:type="dxa"/>
            <w:shd w:val="clear" w:color="auto" w:fill="8DB3E2" w:themeFill="text2" w:themeFillTint="66"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-3.29</w:t>
            </w:r>
          </w:p>
        </w:tc>
        <w:tc>
          <w:tcPr>
            <w:tcW w:w="1101" w:type="dxa"/>
            <w:shd w:val="clear" w:color="auto" w:fill="8DB3E2" w:themeFill="text2" w:themeFillTint="66"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27496.89</w:t>
            </w:r>
          </w:p>
        </w:tc>
        <w:tc>
          <w:tcPr>
            <w:tcW w:w="1084" w:type="dxa"/>
            <w:shd w:val="clear" w:color="auto" w:fill="8DB3E2" w:themeFill="text2" w:themeFillTint="66"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26038.65</w:t>
            </w:r>
          </w:p>
        </w:tc>
        <w:tc>
          <w:tcPr>
            <w:tcW w:w="946" w:type="dxa"/>
            <w:shd w:val="clear" w:color="auto" w:fill="8DB3E2" w:themeFill="text2" w:themeFillTint="66"/>
            <w:vAlign w:val="bottom"/>
          </w:tcPr>
          <w:p w:rsidR="0016017D" w:rsidRPr="00951B3B" w:rsidRDefault="0016017D" w:rsidP="00951B3B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951B3B">
              <w:rPr>
                <w:rFonts w:ascii="Rockwell" w:hAnsi="Rockwell" w:cs="Times New Roman"/>
                <w:b/>
                <w:color w:val="000000" w:themeColor="text1"/>
                <w:sz w:val="20"/>
                <w:szCs w:val="24"/>
                <w:lang w:val="en-US"/>
              </w:rPr>
              <w:t>-5.30</w:t>
            </w:r>
          </w:p>
        </w:tc>
      </w:tr>
    </w:tbl>
    <w:p w:rsidR="007900D0" w:rsidRPr="00EC70CF" w:rsidRDefault="00053480" w:rsidP="007900D0">
      <w:pPr>
        <w:autoSpaceDE w:val="0"/>
        <w:autoSpaceDN w:val="0"/>
        <w:adjustRightInd w:val="0"/>
        <w:spacing w:after="0"/>
        <w:jc w:val="both"/>
        <w:rPr>
          <w:rFonts w:ascii="Rockwell" w:hAnsi="Rockwell" w:cs="Calibri-Light"/>
          <w:b/>
          <w:color w:val="000000" w:themeColor="text1"/>
          <w:sz w:val="28"/>
          <w:szCs w:val="28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Million</w:t>
      </w:r>
    </w:p>
    <w:p w:rsidR="00190EB2" w:rsidRPr="00C90CEF" w:rsidRDefault="00190EB2" w:rsidP="00EC1748">
      <w:pPr>
        <w:autoSpaceDE w:val="0"/>
        <w:autoSpaceDN w:val="0"/>
        <w:adjustRightInd w:val="0"/>
        <w:spacing w:after="0"/>
        <w:jc w:val="both"/>
        <w:rPr>
          <w:rFonts w:ascii="Rockwell" w:hAnsi="Rockwell"/>
          <w:sz w:val="24"/>
          <w:szCs w:val="24"/>
        </w:rPr>
      </w:pPr>
    </w:p>
    <w:p w:rsidR="002312D2" w:rsidRPr="002312D2" w:rsidRDefault="00190EB2" w:rsidP="00190EB2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/>
          <w:b/>
          <w:sz w:val="24"/>
          <w:szCs w:val="24"/>
        </w:rPr>
      </w:pPr>
      <w:r w:rsidRPr="002312D2">
        <w:rPr>
          <w:rFonts w:ascii="Rockwell" w:hAnsi="Rockwell"/>
          <w:b/>
          <w:sz w:val="24"/>
          <w:szCs w:val="24"/>
        </w:rPr>
        <w:t>SPECIFIC REASON FOR GROWTH/DECLINE IN EXPORTS FOR EACH PANELS OF CAPEXIL</w:t>
      </w:r>
    </w:p>
    <w:p w:rsidR="00190EB2" w:rsidRPr="00C90CEF" w:rsidRDefault="00190EB2" w:rsidP="00190EB2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/>
          <w:b/>
          <w:color w:val="000000" w:themeColor="text1"/>
          <w:sz w:val="24"/>
          <w:szCs w:val="24"/>
        </w:rPr>
      </w:pPr>
    </w:p>
    <w:p w:rsidR="00190EB2" w:rsidRPr="002312D2" w:rsidRDefault="00190EB2" w:rsidP="00FE78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Rockwell" w:hAnsi="Rockwell"/>
          <w:sz w:val="24"/>
          <w:szCs w:val="24"/>
          <w:shd w:val="clear" w:color="auto" w:fill="FFFFFF"/>
        </w:rPr>
      </w:pP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CAPEXIL’s Exports during </w:t>
      </w:r>
      <w:r w:rsidR="009C6957" w:rsidRPr="002312D2">
        <w:rPr>
          <w:rFonts w:ascii="Rockwell" w:hAnsi="Rockwell"/>
          <w:sz w:val="24"/>
          <w:szCs w:val="24"/>
          <w:shd w:val="clear" w:color="auto" w:fill="FFFFFF"/>
        </w:rPr>
        <w:t>February</w:t>
      </w:r>
      <w:r w:rsidR="001938B2" w:rsidRPr="002312D2">
        <w:rPr>
          <w:rFonts w:ascii="Rockwell" w:hAnsi="Rockwell"/>
          <w:sz w:val="24"/>
          <w:szCs w:val="24"/>
          <w:shd w:val="clear" w:color="auto" w:fill="FFFFFF"/>
        </w:rPr>
        <w:t xml:space="preserve"> 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>202</w:t>
      </w:r>
      <w:r w:rsidR="001938B2" w:rsidRPr="002312D2">
        <w:rPr>
          <w:rFonts w:ascii="Rockwell" w:hAnsi="Rockwell"/>
          <w:sz w:val="24"/>
          <w:szCs w:val="24"/>
          <w:shd w:val="clear" w:color="auto" w:fill="FFFFFF"/>
        </w:rPr>
        <w:t>3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 is valued at USD </w:t>
      </w:r>
      <w:r w:rsidR="002312D2" w:rsidRPr="002312D2">
        <w:rPr>
          <w:rFonts w:ascii="Rockwell" w:hAnsi="Rockwell"/>
          <w:sz w:val="24"/>
          <w:szCs w:val="24"/>
          <w:shd w:val="clear" w:color="auto" w:fill="FFFFFF"/>
        </w:rPr>
        <w:t>2510.23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 Million and showing a decline of </w:t>
      </w:r>
      <w:r w:rsidR="002312D2" w:rsidRPr="002312D2">
        <w:rPr>
          <w:rFonts w:ascii="Rockwell" w:hAnsi="Rockwell"/>
          <w:sz w:val="24"/>
          <w:szCs w:val="24"/>
          <w:shd w:val="clear" w:color="auto" w:fill="FFFFFF"/>
        </w:rPr>
        <w:t>-3.29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% compared to </w:t>
      </w:r>
      <w:r w:rsidR="009C6957" w:rsidRPr="002312D2">
        <w:rPr>
          <w:rFonts w:ascii="Rockwell" w:hAnsi="Rockwell"/>
          <w:sz w:val="24"/>
          <w:szCs w:val="24"/>
          <w:shd w:val="clear" w:color="auto" w:fill="FFFFFF"/>
        </w:rPr>
        <w:t>February</w:t>
      </w:r>
      <w:r w:rsidR="001938B2" w:rsidRPr="002312D2">
        <w:rPr>
          <w:rFonts w:ascii="Rockwell" w:hAnsi="Rockwell"/>
          <w:sz w:val="24"/>
          <w:szCs w:val="24"/>
          <w:shd w:val="clear" w:color="auto" w:fill="FFFFFF"/>
        </w:rPr>
        <w:t xml:space="preserve"> 2022.  The exports have seen decline during the recent months mainly due to slowdown in the global growth process, rising inflation, volatility in currencies and continuous c</w:t>
      </w:r>
      <w:r w:rsidR="00C534F4" w:rsidRPr="002312D2">
        <w:rPr>
          <w:rFonts w:ascii="Rockwell" w:hAnsi="Rockwell"/>
          <w:sz w:val="24"/>
          <w:szCs w:val="24"/>
          <w:shd w:val="clear" w:color="auto" w:fill="FFFFFF"/>
        </w:rPr>
        <w:t xml:space="preserve">hange in geo-political scenario.  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Out of 16 Panels, </w:t>
      </w:r>
      <w:r w:rsidR="002312D2">
        <w:rPr>
          <w:rFonts w:ascii="Rockwell" w:hAnsi="Rockwell"/>
          <w:sz w:val="24"/>
          <w:szCs w:val="24"/>
          <w:shd w:val="clear" w:color="auto" w:fill="FFFFFF"/>
        </w:rPr>
        <w:t>10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 Panel products are showing declining trend</w:t>
      </w:r>
      <w:r w:rsidR="00C534F4" w:rsidRPr="002312D2">
        <w:rPr>
          <w:rFonts w:ascii="Rockwell" w:hAnsi="Rockwell"/>
          <w:sz w:val="24"/>
          <w:szCs w:val="24"/>
          <w:shd w:val="clear" w:color="auto" w:fill="FFFFFF"/>
        </w:rPr>
        <w:t xml:space="preserve"> during </w:t>
      </w:r>
      <w:r w:rsidR="009C6957" w:rsidRPr="002312D2">
        <w:rPr>
          <w:rFonts w:ascii="Rockwell" w:hAnsi="Rockwell"/>
          <w:sz w:val="24"/>
          <w:szCs w:val="24"/>
          <w:shd w:val="clear" w:color="auto" w:fill="FFFFFF"/>
        </w:rPr>
        <w:t>February</w:t>
      </w:r>
      <w:r w:rsidR="00C534F4" w:rsidRPr="002312D2">
        <w:rPr>
          <w:rFonts w:ascii="Rockwell" w:hAnsi="Rockwell"/>
          <w:sz w:val="24"/>
          <w:szCs w:val="24"/>
          <w:shd w:val="clear" w:color="auto" w:fill="FFFFFF"/>
        </w:rPr>
        <w:t xml:space="preserve"> 2023.</w:t>
      </w:r>
    </w:p>
    <w:p w:rsidR="00190EB2" w:rsidRPr="00D3024A" w:rsidRDefault="00190EB2" w:rsidP="00190EB2">
      <w:pPr>
        <w:pStyle w:val="ListParagraph"/>
        <w:autoSpaceDE w:val="0"/>
        <w:autoSpaceDN w:val="0"/>
        <w:adjustRightInd w:val="0"/>
        <w:spacing w:after="0"/>
        <w:jc w:val="both"/>
        <w:rPr>
          <w:rFonts w:ascii="Rockwell" w:hAnsi="Rockwell"/>
          <w:color w:val="FF0000"/>
          <w:sz w:val="24"/>
          <w:szCs w:val="24"/>
        </w:rPr>
      </w:pPr>
    </w:p>
    <w:p w:rsidR="00190EB2" w:rsidRPr="00D3024A" w:rsidRDefault="00190EB2" w:rsidP="00190EB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Rockwell" w:hAnsi="Rockwell" w:cs="Arial"/>
          <w:color w:val="FF0000"/>
          <w:sz w:val="24"/>
          <w:szCs w:val="24"/>
        </w:rPr>
      </w:pP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The overall exports of CAPEXIL’s products have reached US$ </w:t>
      </w:r>
      <w:r w:rsidR="002312D2" w:rsidRPr="002312D2">
        <w:rPr>
          <w:rFonts w:ascii="Rockwell" w:hAnsi="Rockwell"/>
          <w:sz w:val="24"/>
          <w:szCs w:val="24"/>
          <w:shd w:val="clear" w:color="auto" w:fill="FFFFFF"/>
        </w:rPr>
        <w:t>26038.65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 million during April-</w:t>
      </w:r>
      <w:r w:rsidR="009C6957" w:rsidRPr="002312D2">
        <w:rPr>
          <w:rFonts w:ascii="Rockwell" w:hAnsi="Rockwell"/>
          <w:sz w:val="24"/>
          <w:szCs w:val="24"/>
          <w:shd w:val="clear" w:color="auto" w:fill="FFFFFF"/>
        </w:rPr>
        <w:t>February</w:t>
      </w:r>
      <w:r w:rsidR="00C534F4" w:rsidRPr="002312D2">
        <w:rPr>
          <w:rFonts w:ascii="Rockwell" w:hAnsi="Rockwell"/>
          <w:sz w:val="24"/>
          <w:szCs w:val="24"/>
          <w:shd w:val="clear" w:color="auto" w:fill="FFFFFF"/>
        </w:rPr>
        <w:t xml:space="preserve"> 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>202</w:t>
      </w:r>
      <w:r w:rsidR="00C534F4" w:rsidRPr="002312D2">
        <w:rPr>
          <w:rFonts w:ascii="Rockwell" w:hAnsi="Rockwell"/>
          <w:sz w:val="24"/>
          <w:szCs w:val="24"/>
          <w:shd w:val="clear" w:color="auto" w:fill="FFFFFF"/>
        </w:rPr>
        <w:t>3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 showing a decline of -</w:t>
      </w:r>
      <w:r w:rsidR="002312D2" w:rsidRPr="002312D2">
        <w:rPr>
          <w:rFonts w:ascii="Rockwell" w:hAnsi="Rockwell"/>
          <w:sz w:val="24"/>
          <w:szCs w:val="24"/>
          <w:shd w:val="clear" w:color="auto" w:fill="FFFFFF"/>
        </w:rPr>
        <w:t>5.30</w:t>
      </w:r>
      <w:r w:rsidR="00C534F4" w:rsidRPr="002312D2">
        <w:rPr>
          <w:rFonts w:ascii="Rockwell" w:hAnsi="Rockwell"/>
          <w:sz w:val="24"/>
          <w:szCs w:val="24"/>
          <w:shd w:val="clear" w:color="auto" w:fill="FFFFFF"/>
        </w:rPr>
        <w:t>%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 compared to the same period last year. Out of 16 Panels of Capexil, 7 Panel products are showing declining trend and they are </w:t>
      </w:r>
      <w:r w:rsidR="002312D2">
        <w:rPr>
          <w:rFonts w:ascii="Rockwell" w:hAnsi="Rockwell"/>
          <w:sz w:val="24"/>
          <w:szCs w:val="24"/>
          <w:shd w:val="clear" w:color="auto" w:fill="FFFFFF"/>
        </w:rPr>
        <w:t>Bulk Minerals and Ores Panel</w:t>
      </w:r>
      <w:r w:rsidR="002312D2" w:rsidRPr="002312D2">
        <w:rPr>
          <w:rFonts w:ascii="Rockwell" w:hAnsi="Rockwell"/>
          <w:sz w:val="24"/>
          <w:szCs w:val="24"/>
          <w:shd w:val="clear" w:color="auto" w:fill="FFFFFF"/>
        </w:rPr>
        <w:t xml:space="preserve">, Plywood and Allied Products Panel (-12.83%), Natural Stones and Products Panel (-12.45%), Cement, Clinkers and Asbestos Cement Products </w:t>
      </w:r>
      <w:r w:rsidR="002312D2" w:rsidRPr="002312D2">
        <w:rPr>
          <w:rFonts w:ascii="Rockwell" w:hAnsi="Rockwell"/>
          <w:sz w:val="24"/>
          <w:szCs w:val="24"/>
          <w:shd w:val="clear" w:color="auto" w:fill="FFFFFF"/>
        </w:rPr>
        <w:lastRenderedPageBreak/>
        <w:t>Panel (-8.99%), Paper, Paper Board and Products Panel (-4.85%), Paints, Printing Ink and Allied Products Panel (-4.50%) and Animal By Products Panel (-3.24%)</w:t>
      </w:r>
      <w:r w:rsidR="002312D2">
        <w:rPr>
          <w:rFonts w:ascii="Rockwell" w:hAnsi="Rockwell"/>
          <w:sz w:val="24"/>
          <w:szCs w:val="24"/>
          <w:shd w:val="clear" w:color="auto" w:fill="FFFFFF"/>
        </w:rPr>
        <w:t>.</w:t>
      </w:r>
      <w:r w:rsidRPr="002312D2">
        <w:rPr>
          <w:rFonts w:ascii="Rockwell" w:hAnsi="Rockwell"/>
          <w:sz w:val="24"/>
          <w:szCs w:val="24"/>
          <w:shd w:val="clear" w:color="auto" w:fill="FFFFFF"/>
        </w:rPr>
        <w:t xml:space="preserve"> </w:t>
      </w:r>
      <w:r w:rsidRPr="00D3024A">
        <w:rPr>
          <w:rFonts w:ascii="Rockwell" w:hAnsi="Rockwell"/>
          <w:color w:val="FF0000"/>
          <w:sz w:val="24"/>
          <w:szCs w:val="24"/>
        </w:rPr>
        <w:t xml:space="preserve"> </w:t>
      </w:r>
    </w:p>
    <w:p w:rsidR="00190EB2" w:rsidRPr="00D3024A" w:rsidRDefault="00190EB2" w:rsidP="00190EB2">
      <w:pPr>
        <w:pStyle w:val="ListParagraph"/>
        <w:autoSpaceDE w:val="0"/>
        <w:autoSpaceDN w:val="0"/>
        <w:adjustRightInd w:val="0"/>
        <w:spacing w:after="0"/>
        <w:jc w:val="both"/>
        <w:rPr>
          <w:rFonts w:ascii="Rockwell" w:hAnsi="Rockwell" w:cs="Arial"/>
          <w:color w:val="FF0000"/>
          <w:sz w:val="24"/>
          <w:szCs w:val="24"/>
        </w:rPr>
      </w:pPr>
    </w:p>
    <w:p w:rsidR="00190EB2" w:rsidRPr="002312D2" w:rsidRDefault="00190EB2" w:rsidP="00190EB2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Arial"/>
          <w:b/>
          <w:sz w:val="24"/>
          <w:szCs w:val="24"/>
        </w:rPr>
      </w:pPr>
      <w:r w:rsidRPr="002312D2">
        <w:rPr>
          <w:rFonts w:ascii="Rockwell" w:hAnsi="Rockwell"/>
          <w:sz w:val="24"/>
          <w:szCs w:val="24"/>
        </w:rPr>
        <w:t xml:space="preserve">Exports of Bulk Mineral and Ore products have declined by </w:t>
      </w:r>
      <w:r w:rsidR="002312D2" w:rsidRPr="002312D2">
        <w:rPr>
          <w:rFonts w:ascii="Rockwell" w:hAnsi="Rockwell"/>
          <w:sz w:val="24"/>
          <w:szCs w:val="24"/>
          <w:shd w:val="clear" w:color="auto" w:fill="FFFFFF"/>
        </w:rPr>
        <w:t xml:space="preserve">-24.34% </w:t>
      </w:r>
      <w:r w:rsidRPr="002312D2">
        <w:rPr>
          <w:rFonts w:ascii="Rockwell" w:hAnsi="Rockwell"/>
          <w:sz w:val="24"/>
          <w:szCs w:val="24"/>
        </w:rPr>
        <w:t xml:space="preserve">during April to </w:t>
      </w:r>
      <w:r w:rsidR="009C6957" w:rsidRPr="002312D2">
        <w:rPr>
          <w:rFonts w:ascii="Rockwell" w:hAnsi="Rockwell"/>
          <w:sz w:val="24"/>
          <w:szCs w:val="24"/>
        </w:rPr>
        <w:t>February</w:t>
      </w:r>
      <w:r w:rsidRPr="002312D2">
        <w:rPr>
          <w:rFonts w:ascii="Rockwell" w:hAnsi="Rockwell"/>
          <w:sz w:val="24"/>
          <w:szCs w:val="24"/>
        </w:rPr>
        <w:t xml:space="preserve"> 202</w:t>
      </w:r>
      <w:r w:rsidR="00C534F4" w:rsidRPr="002312D2">
        <w:rPr>
          <w:rFonts w:ascii="Rockwell" w:hAnsi="Rockwell"/>
          <w:sz w:val="24"/>
          <w:szCs w:val="24"/>
        </w:rPr>
        <w:t>3</w:t>
      </w:r>
      <w:r w:rsidRPr="002312D2">
        <w:rPr>
          <w:rFonts w:ascii="Rockwell" w:hAnsi="Rockwell"/>
          <w:sz w:val="24"/>
          <w:szCs w:val="24"/>
        </w:rPr>
        <w:t>.  Exports have declined mainly due to low demand of Iron Ore in China, the major market for Iron Ore from India.</w:t>
      </w:r>
    </w:p>
    <w:p w:rsidR="00190EB2" w:rsidRPr="00D3024A" w:rsidRDefault="00190EB2" w:rsidP="00190EB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Arial"/>
          <w:b/>
          <w:color w:val="FF0000"/>
          <w:sz w:val="24"/>
          <w:szCs w:val="24"/>
        </w:rPr>
      </w:pPr>
    </w:p>
    <w:p w:rsidR="00190EB2" w:rsidRPr="002312D2" w:rsidRDefault="00190EB2" w:rsidP="00190EB2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ckwell" w:hAnsi="Rockwell"/>
          <w:sz w:val="24"/>
          <w:szCs w:val="24"/>
        </w:rPr>
      </w:pPr>
      <w:r w:rsidRPr="002312D2">
        <w:rPr>
          <w:rFonts w:ascii="Rockwell" w:hAnsi="Rockwell" w:cs="Arial"/>
          <w:sz w:val="24"/>
          <w:szCs w:val="24"/>
        </w:rPr>
        <w:t>Exports of Natural Stone Products from</w:t>
      </w:r>
      <w:r w:rsidR="00C534F4" w:rsidRPr="002312D2">
        <w:rPr>
          <w:rFonts w:ascii="Rockwell" w:hAnsi="Rockwell" w:cs="Arial"/>
          <w:sz w:val="24"/>
          <w:szCs w:val="24"/>
        </w:rPr>
        <w:t xml:space="preserve"> India has declined by nearly </w:t>
      </w:r>
      <w:r w:rsidR="002312D2" w:rsidRPr="002312D2">
        <w:rPr>
          <w:rFonts w:ascii="Rockwell" w:hAnsi="Rockwell" w:cs="Arial"/>
          <w:sz w:val="24"/>
          <w:szCs w:val="24"/>
        </w:rPr>
        <w:t>-</w:t>
      </w:r>
      <w:r w:rsidR="00C534F4" w:rsidRPr="002312D2">
        <w:rPr>
          <w:rFonts w:ascii="Rockwell" w:hAnsi="Rockwell" w:cs="Arial"/>
          <w:sz w:val="24"/>
          <w:szCs w:val="24"/>
        </w:rPr>
        <w:t>12</w:t>
      </w:r>
      <w:r w:rsidR="002312D2" w:rsidRPr="002312D2">
        <w:rPr>
          <w:rFonts w:ascii="Rockwell" w:hAnsi="Rockwell" w:cs="Arial"/>
          <w:sz w:val="24"/>
          <w:szCs w:val="24"/>
        </w:rPr>
        <w:t>.45</w:t>
      </w:r>
      <w:r w:rsidRPr="002312D2">
        <w:rPr>
          <w:rFonts w:ascii="Rockwell" w:hAnsi="Rockwell" w:cs="Arial"/>
          <w:sz w:val="24"/>
          <w:szCs w:val="24"/>
        </w:rPr>
        <w:t xml:space="preserve">% during April to </w:t>
      </w:r>
      <w:r w:rsidR="009C6957" w:rsidRPr="002312D2">
        <w:rPr>
          <w:rFonts w:ascii="Rockwell" w:hAnsi="Rockwell" w:cs="Arial"/>
          <w:sz w:val="24"/>
          <w:szCs w:val="24"/>
        </w:rPr>
        <w:t>February</w:t>
      </w:r>
      <w:r w:rsidR="00C534F4" w:rsidRPr="002312D2">
        <w:rPr>
          <w:rFonts w:ascii="Rockwell" w:hAnsi="Rockwell" w:cs="Arial"/>
          <w:sz w:val="24"/>
          <w:szCs w:val="24"/>
        </w:rPr>
        <w:t xml:space="preserve"> </w:t>
      </w:r>
      <w:r w:rsidRPr="002312D2">
        <w:rPr>
          <w:rFonts w:ascii="Rockwell" w:hAnsi="Rockwell" w:cs="Arial"/>
          <w:sz w:val="24"/>
          <w:szCs w:val="24"/>
        </w:rPr>
        <w:t>202</w:t>
      </w:r>
      <w:r w:rsidR="00C534F4" w:rsidRPr="002312D2">
        <w:rPr>
          <w:rFonts w:ascii="Rockwell" w:hAnsi="Rockwell" w:cs="Arial"/>
          <w:sz w:val="24"/>
          <w:szCs w:val="24"/>
        </w:rPr>
        <w:t>3</w:t>
      </w:r>
      <w:r w:rsidRPr="002312D2">
        <w:rPr>
          <w:rFonts w:ascii="Rockwell" w:hAnsi="Rockwell" w:cs="Arial"/>
          <w:sz w:val="24"/>
          <w:szCs w:val="24"/>
        </w:rPr>
        <w:t xml:space="preserve"> period.  Decline in exports of Natural Stone products is mainly due to demand slowdown in China, UK and European markets.</w:t>
      </w:r>
    </w:p>
    <w:p w:rsidR="00190EB2" w:rsidRPr="00D3024A" w:rsidRDefault="00190EB2" w:rsidP="00190EB2">
      <w:pPr>
        <w:pStyle w:val="ListParagraph"/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Rockwell" w:hAnsi="Rockwell"/>
          <w:color w:val="FF0000"/>
          <w:sz w:val="24"/>
          <w:szCs w:val="24"/>
        </w:rPr>
      </w:pPr>
    </w:p>
    <w:p w:rsidR="00190EB2" w:rsidRPr="002312D2" w:rsidRDefault="00190EB2" w:rsidP="002312D2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Arial"/>
          <w:sz w:val="24"/>
          <w:szCs w:val="24"/>
        </w:rPr>
      </w:pPr>
      <w:r w:rsidRPr="002312D2">
        <w:rPr>
          <w:rFonts w:ascii="Rockwell" w:hAnsi="Rockwell" w:cs="Arial"/>
          <w:sz w:val="24"/>
          <w:szCs w:val="24"/>
        </w:rPr>
        <w:t xml:space="preserve">Exports of Processed Mineral and Ores products have reached US$ </w:t>
      </w:r>
      <w:r w:rsidR="002312D2" w:rsidRPr="002312D2">
        <w:rPr>
          <w:rFonts w:ascii="Rockwell" w:hAnsi="Rockwell" w:cs="Arial"/>
          <w:sz w:val="24"/>
          <w:szCs w:val="24"/>
        </w:rPr>
        <w:t>1525.78</w:t>
      </w:r>
      <w:r w:rsidRPr="002312D2">
        <w:rPr>
          <w:rFonts w:ascii="Rockwell" w:hAnsi="Rockwell" w:cs="Arial"/>
          <w:sz w:val="24"/>
          <w:szCs w:val="24"/>
        </w:rPr>
        <w:t xml:space="preserve"> million during April to </w:t>
      </w:r>
      <w:r w:rsidR="009C6957" w:rsidRPr="002312D2">
        <w:rPr>
          <w:rFonts w:ascii="Rockwell" w:hAnsi="Rockwell" w:cs="Arial"/>
          <w:sz w:val="24"/>
          <w:szCs w:val="24"/>
        </w:rPr>
        <w:t>February</w:t>
      </w:r>
      <w:r w:rsidR="00C534F4" w:rsidRPr="002312D2">
        <w:rPr>
          <w:rFonts w:ascii="Rockwell" w:hAnsi="Rockwell" w:cs="Arial"/>
          <w:sz w:val="24"/>
          <w:szCs w:val="24"/>
        </w:rPr>
        <w:t xml:space="preserve"> </w:t>
      </w:r>
      <w:r w:rsidRPr="002312D2">
        <w:rPr>
          <w:rFonts w:ascii="Rockwell" w:hAnsi="Rockwell" w:cs="Arial"/>
          <w:sz w:val="24"/>
          <w:szCs w:val="24"/>
        </w:rPr>
        <w:t>202</w:t>
      </w:r>
      <w:r w:rsidR="00C534F4" w:rsidRPr="002312D2">
        <w:rPr>
          <w:rFonts w:ascii="Rockwell" w:hAnsi="Rockwell" w:cs="Arial"/>
          <w:sz w:val="24"/>
          <w:szCs w:val="24"/>
        </w:rPr>
        <w:t>3</w:t>
      </w:r>
      <w:r w:rsidRPr="002312D2">
        <w:rPr>
          <w:rFonts w:ascii="Rockwell" w:hAnsi="Rockwell" w:cs="Arial"/>
          <w:sz w:val="24"/>
          <w:szCs w:val="24"/>
        </w:rPr>
        <w:t xml:space="preserve"> and showing a growth of </w:t>
      </w:r>
      <w:r w:rsidR="002312D2" w:rsidRPr="002312D2">
        <w:rPr>
          <w:rFonts w:ascii="Rockwell" w:hAnsi="Rockwell" w:cs="Arial"/>
          <w:sz w:val="24"/>
          <w:szCs w:val="24"/>
        </w:rPr>
        <w:t>25.71</w:t>
      </w:r>
      <w:r w:rsidRPr="002312D2">
        <w:rPr>
          <w:rFonts w:ascii="Rockwell" w:hAnsi="Rockwell" w:cs="Arial"/>
          <w:sz w:val="24"/>
          <w:szCs w:val="24"/>
        </w:rPr>
        <w:t>% compared the same period last year.   Products like Barytes Lumps, Ilminite, Ball Clay, Stealite Lumps, Alumina Calcined and Aluminium Hydroxide are showing high demand in overseas markets.</w:t>
      </w:r>
    </w:p>
    <w:p w:rsidR="00190EB2" w:rsidRPr="00D3024A" w:rsidRDefault="00190EB2" w:rsidP="00190EB2">
      <w:pPr>
        <w:pStyle w:val="ListParagraph"/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Rockwell" w:hAnsi="Rockwell"/>
          <w:color w:val="FF0000"/>
          <w:sz w:val="24"/>
          <w:szCs w:val="24"/>
        </w:rPr>
      </w:pPr>
    </w:p>
    <w:p w:rsidR="00190EB2" w:rsidRPr="00EB6077" w:rsidRDefault="00190EB2" w:rsidP="00EB607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Arial"/>
          <w:sz w:val="24"/>
          <w:szCs w:val="24"/>
        </w:rPr>
      </w:pPr>
      <w:r w:rsidRPr="00EB6077">
        <w:rPr>
          <w:rFonts w:ascii="Rockwell" w:hAnsi="Rockwell" w:cs="Arial"/>
          <w:sz w:val="24"/>
          <w:szCs w:val="24"/>
        </w:rPr>
        <w:t xml:space="preserve">Exports of Paper and Paper Board Products have declined by </w:t>
      </w:r>
      <w:r w:rsidR="00EB6077" w:rsidRPr="00EB6077">
        <w:rPr>
          <w:rFonts w:ascii="Rockwell" w:hAnsi="Rockwell" w:cs="Arial"/>
          <w:sz w:val="24"/>
          <w:szCs w:val="24"/>
        </w:rPr>
        <w:t>-4.85</w:t>
      </w:r>
      <w:r w:rsidRPr="00EB6077">
        <w:rPr>
          <w:rFonts w:ascii="Rockwell" w:hAnsi="Rockwell" w:cs="Arial"/>
          <w:sz w:val="24"/>
          <w:szCs w:val="24"/>
        </w:rPr>
        <w:t xml:space="preserve">% during April to </w:t>
      </w:r>
      <w:r w:rsidR="009C6957" w:rsidRPr="00EB6077">
        <w:rPr>
          <w:rFonts w:ascii="Rockwell" w:hAnsi="Rockwell" w:cs="Arial"/>
          <w:sz w:val="24"/>
          <w:szCs w:val="24"/>
        </w:rPr>
        <w:t>February</w:t>
      </w:r>
      <w:r w:rsidRPr="00EB6077">
        <w:rPr>
          <w:rFonts w:ascii="Rockwell" w:hAnsi="Rockwell" w:cs="Arial"/>
          <w:sz w:val="24"/>
          <w:szCs w:val="24"/>
        </w:rPr>
        <w:t xml:space="preserve"> 202</w:t>
      </w:r>
      <w:r w:rsidR="00CB2B33" w:rsidRPr="00EB6077">
        <w:rPr>
          <w:rFonts w:ascii="Rockwell" w:hAnsi="Rockwell" w:cs="Arial"/>
          <w:sz w:val="24"/>
          <w:szCs w:val="24"/>
        </w:rPr>
        <w:t>3</w:t>
      </w:r>
      <w:r w:rsidRPr="00EB6077">
        <w:rPr>
          <w:rFonts w:ascii="Rockwell" w:hAnsi="Rockwell" w:cs="Arial"/>
          <w:sz w:val="24"/>
          <w:szCs w:val="24"/>
        </w:rPr>
        <w:t xml:space="preserve">.  </w:t>
      </w:r>
      <w:r w:rsidR="00EB6077" w:rsidRPr="00EB6077">
        <w:rPr>
          <w:rFonts w:ascii="Rockwell" w:hAnsi="Rockwell" w:cs="Arial"/>
          <w:sz w:val="24"/>
          <w:szCs w:val="24"/>
        </w:rPr>
        <w:t>Global demand for paper is steadily declining, which is mainly due to the decline of its consumption both in eme</w:t>
      </w:r>
      <w:r w:rsidR="00EB6077">
        <w:rPr>
          <w:rFonts w:ascii="Rockwell" w:hAnsi="Rockwell" w:cs="Arial"/>
          <w:sz w:val="24"/>
          <w:szCs w:val="24"/>
        </w:rPr>
        <w:t>rging markets and Western world</w:t>
      </w:r>
      <w:r w:rsidRPr="00EB6077">
        <w:rPr>
          <w:rFonts w:ascii="Rockwell" w:hAnsi="Rockwell" w:cs="Arial"/>
          <w:sz w:val="24"/>
          <w:szCs w:val="24"/>
        </w:rPr>
        <w:t>.</w:t>
      </w:r>
    </w:p>
    <w:p w:rsidR="00CB2B33" w:rsidRPr="00D3024A" w:rsidRDefault="00CB2B33" w:rsidP="00CB2B33">
      <w:pPr>
        <w:pStyle w:val="ListParagraph"/>
        <w:shd w:val="clear" w:color="auto" w:fill="FFFFFF"/>
        <w:spacing w:before="100" w:beforeAutospacing="1" w:after="0" w:afterAutospacing="1" w:line="240" w:lineRule="auto"/>
        <w:jc w:val="both"/>
        <w:rPr>
          <w:rFonts w:ascii="Rockwell" w:hAnsi="Rockwell"/>
          <w:color w:val="FF0000"/>
          <w:sz w:val="24"/>
          <w:szCs w:val="24"/>
        </w:rPr>
      </w:pPr>
    </w:p>
    <w:p w:rsidR="00190EB2" w:rsidRPr="00DC46DC" w:rsidRDefault="00190EB2" w:rsidP="00DC46D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Rockwell" w:hAnsi="Rockwell"/>
          <w:sz w:val="24"/>
          <w:szCs w:val="24"/>
        </w:rPr>
      </w:pPr>
      <w:r w:rsidRPr="00DC46DC">
        <w:rPr>
          <w:rFonts w:ascii="Rockwell" w:hAnsi="Rockwell" w:cs="Times New Roman"/>
          <w:sz w:val="24"/>
          <w:szCs w:val="24"/>
        </w:rPr>
        <w:t xml:space="preserve">Exports of Auto Tyre and Tube products have reached US$ </w:t>
      </w:r>
      <w:r w:rsidR="00DC46DC" w:rsidRPr="00DC46DC">
        <w:rPr>
          <w:rFonts w:ascii="Rockwell" w:hAnsi="Rockwell" w:cs="Times New Roman"/>
          <w:sz w:val="24"/>
          <w:szCs w:val="24"/>
        </w:rPr>
        <w:t>2722.40</w:t>
      </w:r>
      <w:r w:rsidRPr="00DC46DC">
        <w:rPr>
          <w:rFonts w:ascii="Rockwell" w:hAnsi="Rockwell" w:cs="Times New Roman"/>
          <w:sz w:val="24"/>
          <w:szCs w:val="24"/>
        </w:rPr>
        <w:t xml:space="preserve"> million and showing a growth of </w:t>
      </w:r>
      <w:r w:rsidR="00DC46DC" w:rsidRPr="00DC46DC">
        <w:rPr>
          <w:rFonts w:ascii="Rockwell" w:hAnsi="Rockwell" w:cs="Times New Roman"/>
          <w:sz w:val="24"/>
          <w:szCs w:val="24"/>
        </w:rPr>
        <w:t>3.31</w:t>
      </w:r>
      <w:r w:rsidRPr="00DC46DC">
        <w:rPr>
          <w:rFonts w:ascii="Rockwell" w:hAnsi="Rockwell" w:cs="Times New Roman"/>
          <w:sz w:val="24"/>
          <w:szCs w:val="24"/>
        </w:rPr>
        <w:t xml:space="preserve">% due to </w:t>
      </w:r>
      <w:r w:rsidRPr="00DC46DC">
        <w:rPr>
          <w:rStyle w:val="Emphasis"/>
          <w:rFonts w:ascii="Rockwell" w:hAnsi="Rockwell" w:cs="Arial"/>
          <w:bCs/>
          <w:i w:val="0"/>
          <w:iCs w:val="0"/>
          <w:sz w:val="24"/>
          <w:szCs w:val="24"/>
          <w:shd w:val="clear" w:color="auto" w:fill="FFFFFF"/>
        </w:rPr>
        <w:t>increasing</w:t>
      </w:r>
      <w:r w:rsidRPr="00DC46DC">
        <w:rPr>
          <w:rFonts w:ascii="Rockwell" w:hAnsi="Rockwell" w:cs="Arial"/>
          <w:sz w:val="24"/>
          <w:szCs w:val="24"/>
          <w:shd w:val="clear" w:color="auto" w:fill="FFFFFF"/>
        </w:rPr>
        <w:t> acceptance of </w:t>
      </w:r>
      <w:r w:rsidRPr="00DC46DC">
        <w:rPr>
          <w:rStyle w:val="Emphasis"/>
          <w:rFonts w:ascii="Rockwell" w:hAnsi="Rockwell" w:cs="Arial"/>
          <w:bCs/>
          <w:i w:val="0"/>
          <w:iCs w:val="0"/>
          <w:sz w:val="24"/>
          <w:szCs w:val="24"/>
          <w:shd w:val="clear" w:color="auto" w:fill="FFFFFF"/>
        </w:rPr>
        <w:t>Indian tyres</w:t>
      </w:r>
      <w:r w:rsidRPr="00DC46DC">
        <w:rPr>
          <w:rFonts w:ascii="Rockwell" w:hAnsi="Rockwell" w:cs="Arial"/>
          <w:sz w:val="24"/>
          <w:szCs w:val="24"/>
          <w:shd w:val="clear" w:color="auto" w:fill="FFFFFF"/>
        </w:rPr>
        <w:t> in the overseas markets.</w:t>
      </w:r>
      <w:r w:rsidRPr="00DC46DC">
        <w:rPr>
          <w:rFonts w:ascii="Rockwell" w:hAnsi="Rockwell" w:cs="Times New Roman"/>
          <w:sz w:val="24"/>
          <w:szCs w:val="24"/>
        </w:rPr>
        <w:t xml:space="preserve"> </w:t>
      </w:r>
    </w:p>
    <w:p w:rsidR="00190EB2" w:rsidRPr="00D3024A" w:rsidRDefault="00190EB2" w:rsidP="00190EB2">
      <w:pPr>
        <w:pStyle w:val="ListParagraph"/>
        <w:rPr>
          <w:rFonts w:ascii="Rockwell" w:hAnsi="Rockwell" w:cs="Times New Roman"/>
          <w:color w:val="FF0000"/>
          <w:sz w:val="24"/>
          <w:szCs w:val="24"/>
        </w:rPr>
      </w:pPr>
    </w:p>
    <w:p w:rsidR="004912FE" w:rsidRPr="00DC46DC" w:rsidRDefault="00190EB2" w:rsidP="00DC46DC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afterAutospacing="1" w:line="240" w:lineRule="auto"/>
        <w:jc w:val="both"/>
        <w:rPr>
          <w:rFonts w:ascii="Rockwell" w:hAnsi="Rockwell" w:cs="Arial"/>
          <w:sz w:val="24"/>
          <w:szCs w:val="24"/>
        </w:rPr>
      </w:pPr>
      <w:r w:rsidRPr="00DC46DC">
        <w:rPr>
          <w:rFonts w:ascii="Rockwell" w:hAnsi="Rockwell" w:cs="Arial"/>
          <w:sz w:val="24"/>
          <w:szCs w:val="24"/>
        </w:rPr>
        <w:t xml:space="preserve">Exports of Ceramics and Allied Products have reached to USD </w:t>
      </w:r>
      <w:r w:rsidR="00DC46DC" w:rsidRPr="00DC46DC">
        <w:rPr>
          <w:rFonts w:ascii="Rockwell" w:hAnsi="Rockwell" w:cs="Arial"/>
          <w:sz w:val="24"/>
          <w:szCs w:val="24"/>
        </w:rPr>
        <w:t>2497.93</w:t>
      </w:r>
      <w:r w:rsidRPr="00DC46DC">
        <w:rPr>
          <w:rFonts w:ascii="Rockwell" w:hAnsi="Rockwell" w:cs="Arial"/>
          <w:sz w:val="24"/>
          <w:szCs w:val="24"/>
        </w:rPr>
        <w:t xml:space="preserve"> Million showing a growth of </w:t>
      </w:r>
      <w:r w:rsidR="004912FE" w:rsidRPr="00DC46DC">
        <w:rPr>
          <w:rFonts w:ascii="Rockwell" w:hAnsi="Rockwell" w:cs="Arial"/>
          <w:sz w:val="24"/>
          <w:szCs w:val="24"/>
        </w:rPr>
        <w:t>11.</w:t>
      </w:r>
      <w:r w:rsidR="00DC46DC" w:rsidRPr="00DC46DC">
        <w:rPr>
          <w:rFonts w:ascii="Rockwell" w:hAnsi="Rockwell" w:cs="Arial"/>
          <w:sz w:val="24"/>
          <w:szCs w:val="24"/>
        </w:rPr>
        <w:t>84</w:t>
      </w:r>
      <w:r w:rsidR="004912FE" w:rsidRPr="00DC46DC">
        <w:rPr>
          <w:rFonts w:ascii="Rockwell" w:hAnsi="Rockwell" w:cs="Arial"/>
          <w:sz w:val="24"/>
          <w:szCs w:val="24"/>
        </w:rPr>
        <w:t>% d</w:t>
      </w:r>
      <w:r w:rsidRPr="00DC46DC">
        <w:rPr>
          <w:rFonts w:ascii="Rockwell" w:hAnsi="Rockwell" w:cs="Arial"/>
          <w:sz w:val="24"/>
          <w:szCs w:val="24"/>
        </w:rPr>
        <w:t xml:space="preserve">uring April to </w:t>
      </w:r>
      <w:r w:rsidR="009C6957" w:rsidRPr="00DC46DC">
        <w:rPr>
          <w:rFonts w:ascii="Rockwell" w:hAnsi="Rockwell" w:cs="Arial"/>
          <w:sz w:val="24"/>
          <w:szCs w:val="24"/>
        </w:rPr>
        <w:t>February</w:t>
      </w:r>
      <w:r w:rsidR="004912FE" w:rsidRPr="00DC46DC">
        <w:rPr>
          <w:rFonts w:ascii="Rockwell" w:hAnsi="Rockwell" w:cs="Arial"/>
          <w:sz w:val="24"/>
          <w:szCs w:val="24"/>
        </w:rPr>
        <w:t xml:space="preserve"> </w:t>
      </w:r>
      <w:r w:rsidRPr="00DC46DC">
        <w:rPr>
          <w:rFonts w:ascii="Rockwell" w:hAnsi="Rockwell" w:cs="Arial"/>
          <w:sz w:val="24"/>
          <w:szCs w:val="24"/>
        </w:rPr>
        <w:t>202</w:t>
      </w:r>
      <w:r w:rsidR="004912FE" w:rsidRPr="00DC46DC">
        <w:rPr>
          <w:rFonts w:ascii="Rockwell" w:hAnsi="Rockwell" w:cs="Arial"/>
          <w:sz w:val="24"/>
          <w:szCs w:val="24"/>
        </w:rPr>
        <w:t>3</w:t>
      </w:r>
      <w:r w:rsidR="00DC46DC" w:rsidRPr="00DC46DC">
        <w:rPr>
          <w:rFonts w:ascii="Rockwell" w:hAnsi="Rockwell" w:cs="Arial"/>
          <w:sz w:val="24"/>
          <w:szCs w:val="24"/>
        </w:rPr>
        <w:t xml:space="preserve">. </w:t>
      </w:r>
      <w:r w:rsidRPr="00DC46DC">
        <w:rPr>
          <w:rFonts w:ascii="Rockwell" w:hAnsi="Rockwell" w:cs="Arial"/>
          <w:sz w:val="24"/>
          <w:szCs w:val="24"/>
        </w:rPr>
        <w:t xml:space="preserve">Though there is positive growth in export of Ceramics Products, there is still shortfall in target set by the Ministry. </w:t>
      </w:r>
    </w:p>
    <w:p w:rsidR="00DC46DC" w:rsidRPr="00DC46DC" w:rsidRDefault="00DC46DC" w:rsidP="00DC46DC">
      <w:pPr>
        <w:pStyle w:val="ListParagraph"/>
        <w:shd w:val="clear" w:color="auto" w:fill="FFFFFF"/>
        <w:autoSpaceDE w:val="0"/>
        <w:autoSpaceDN w:val="0"/>
        <w:adjustRightInd w:val="0"/>
        <w:spacing w:after="0" w:afterAutospacing="1" w:line="240" w:lineRule="auto"/>
        <w:jc w:val="both"/>
        <w:rPr>
          <w:rFonts w:ascii="Rockwell" w:hAnsi="Rockwell" w:cs="Arial"/>
          <w:sz w:val="24"/>
          <w:szCs w:val="24"/>
        </w:rPr>
      </w:pPr>
    </w:p>
    <w:p w:rsidR="00190EB2" w:rsidRPr="00DC46DC" w:rsidRDefault="00190EB2" w:rsidP="00DC46DC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ckwell" w:hAnsi="Rockwell"/>
          <w:sz w:val="24"/>
          <w:szCs w:val="24"/>
        </w:rPr>
      </w:pPr>
      <w:r w:rsidRPr="00DC46DC">
        <w:rPr>
          <w:rFonts w:ascii="Rockwell" w:hAnsi="Rockwell" w:cs="Times New Roman"/>
          <w:sz w:val="24"/>
          <w:szCs w:val="24"/>
        </w:rPr>
        <w:t xml:space="preserve">As far as Rubber Products are concerned, exports have reached US$ </w:t>
      </w:r>
      <w:r w:rsidR="00DC46DC" w:rsidRPr="00DC46DC">
        <w:rPr>
          <w:rFonts w:ascii="Rockwell" w:hAnsi="Rockwell" w:cs="Times New Roman"/>
          <w:sz w:val="24"/>
          <w:szCs w:val="24"/>
        </w:rPr>
        <w:t>1793.43</w:t>
      </w:r>
      <w:r w:rsidRPr="00DC46DC">
        <w:rPr>
          <w:rFonts w:ascii="Rockwell" w:hAnsi="Rockwell" w:cs="Times New Roman"/>
          <w:sz w:val="24"/>
          <w:szCs w:val="24"/>
        </w:rPr>
        <w:t xml:space="preserve"> million during April to </w:t>
      </w:r>
      <w:r w:rsidR="009C6957" w:rsidRPr="00DC46DC">
        <w:rPr>
          <w:rFonts w:ascii="Rockwell" w:hAnsi="Rockwell" w:cs="Times New Roman"/>
          <w:sz w:val="24"/>
          <w:szCs w:val="24"/>
        </w:rPr>
        <w:t>February</w:t>
      </w:r>
      <w:r w:rsidR="00E27CAD" w:rsidRPr="00DC46DC">
        <w:rPr>
          <w:rFonts w:ascii="Rockwell" w:hAnsi="Rockwell" w:cs="Times New Roman"/>
          <w:sz w:val="24"/>
          <w:szCs w:val="24"/>
        </w:rPr>
        <w:t xml:space="preserve"> </w:t>
      </w:r>
      <w:r w:rsidRPr="00DC46DC">
        <w:rPr>
          <w:rFonts w:ascii="Rockwell" w:hAnsi="Rockwell" w:cs="Times New Roman"/>
          <w:sz w:val="24"/>
          <w:szCs w:val="24"/>
        </w:rPr>
        <w:t>202</w:t>
      </w:r>
      <w:r w:rsidR="00E27CAD" w:rsidRPr="00DC46DC">
        <w:rPr>
          <w:rFonts w:ascii="Rockwell" w:hAnsi="Rockwell" w:cs="Times New Roman"/>
          <w:sz w:val="24"/>
          <w:szCs w:val="24"/>
        </w:rPr>
        <w:t>3</w:t>
      </w:r>
      <w:r w:rsidRPr="00DC46DC">
        <w:rPr>
          <w:rFonts w:ascii="Rockwell" w:hAnsi="Rockwell" w:cs="Times New Roman"/>
          <w:sz w:val="24"/>
          <w:szCs w:val="24"/>
        </w:rPr>
        <w:t xml:space="preserve"> showing a growth of nearly </w:t>
      </w:r>
      <w:r w:rsidR="00DC46DC" w:rsidRPr="00DC46DC">
        <w:rPr>
          <w:rFonts w:ascii="Rockwell" w:hAnsi="Rockwell" w:cs="Times New Roman"/>
          <w:sz w:val="24"/>
          <w:szCs w:val="24"/>
        </w:rPr>
        <w:t>8.68</w:t>
      </w:r>
      <w:r w:rsidRPr="00DC46DC">
        <w:rPr>
          <w:rFonts w:ascii="Rockwell" w:hAnsi="Rockwell" w:cs="Times New Roman"/>
          <w:sz w:val="24"/>
          <w:szCs w:val="24"/>
        </w:rPr>
        <w:t xml:space="preserve">% compared April to </w:t>
      </w:r>
      <w:r w:rsidR="009C6957" w:rsidRPr="00DC46DC">
        <w:rPr>
          <w:rFonts w:ascii="Rockwell" w:hAnsi="Rockwell" w:cs="Times New Roman"/>
          <w:sz w:val="24"/>
          <w:szCs w:val="24"/>
        </w:rPr>
        <w:t>February</w:t>
      </w:r>
      <w:r w:rsidR="00E27CAD" w:rsidRPr="00DC46DC">
        <w:rPr>
          <w:rFonts w:ascii="Rockwell" w:hAnsi="Rockwell" w:cs="Times New Roman"/>
          <w:sz w:val="24"/>
          <w:szCs w:val="24"/>
        </w:rPr>
        <w:t xml:space="preserve"> 2022</w:t>
      </w:r>
      <w:r w:rsidRPr="00DC46DC">
        <w:rPr>
          <w:rFonts w:ascii="Rockwell" w:hAnsi="Rockwell" w:cs="Times New Roman"/>
          <w:sz w:val="24"/>
          <w:szCs w:val="24"/>
        </w:rPr>
        <w:t xml:space="preserve">. Top markets are showing positive </w:t>
      </w:r>
      <w:r w:rsidR="00E27CAD" w:rsidRPr="00DC46DC">
        <w:rPr>
          <w:rFonts w:ascii="Rockwell" w:hAnsi="Rockwell" w:cs="Times New Roman"/>
          <w:sz w:val="24"/>
          <w:szCs w:val="24"/>
        </w:rPr>
        <w:t xml:space="preserve">growth during April to </w:t>
      </w:r>
      <w:r w:rsidR="009C6957" w:rsidRPr="00DC46DC">
        <w:rPr>
          <w:rFonts w:ascii="Rockwell" w:hAnsi="Rockwell" w:cs="Times New Roman"/>
          <w:sz w:val="24"/>
          <w:szCs w:val="24"/>
        </w:rPr>
        <w:t>February</w:t>
      </w:r>
      <w:r w:rsidR="00E27CAD" w:rsidRPr="00DC46DC">
        <w:rPr>
          <w:rFonts w:ascii="Rockwell" w:hAnsi="Rockwell" w:cs="Times New Roman"/>
          <w:sz w:val="24"/>
          <w:szCs w:val="24"/>
        </w:rPr>
        <w:t xml:space="preserve"> 2023</w:t>
      </w:r>
      <w:r w:rsidRPr="00DC46DC">
        <w:rPr>
          <w:rFonts w:ascii="Rockwell" w:hAnsi="Rockwell" w:cs="Times New Roman"/>
          <w:sz w:val="24"/>
          <w:szCs w:val="24"/>
        </w:rPr>
        <w:t xml:space="preserve"> </w:t>
      </w:r>
      <w:r w:rsidR="006D6D9F" w:rsidRPr="00DC46DC">
        <w:rPr>
          <w:rFonts w:ascii="Rockwell" w:hAnsi="Rockwell" w:cs="Times New Roman"/>
          <w:sz w:val="24"/>
          <w:szCs w:val="24"/>
        </w:rPr>
        <w:t>period.</w:t>
      </w:r>
      <w:r w:rsidRPr="00DC46DC">
        <w:rPr>
          <w:rFonts w:ascii="Rockwell" w:hAnsi="Rockwell" w:cs="Times New Roman"/>
          <w:sz w:val="24"/>
          <w:szCs w:val="24"/>
        </w:rPr>
        <w:t xml:space="preserve"> </w:t>
      </w:r>
    </w:p>
    <w:p w:rsidR="00190EB2" w:rsidRPr="00D3024A" w:rsidRDefault="00190EB2" w:rsidP="00190EB2">
      <w:pPr>
        <w:pStyle w:val="ListParagraph"/>
        <w:rPr>
          <w:rFonts w:ascii="Rockwell" w:hAnsi="Rockwell"/>
          <w:color w:val="FF0000"/>
          <w:sz w:val="24"/>
          <w:szCs w:val="24"/>
        </w:rPr>
      </w:pPr>
    </w:p>
    <w:p w:rsidR="00190EB2" w:rsidRPr="00864748" w:rsidRDefault="00190EB2" w:rsidP="0086474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Rockwell" w:hAnsi="Rockwell"/>
          <w:sz w:val="24"/>
          <w:szCs w:val="24"/>
        </w:rPr>
      </w:pPr>
      <w:r w:rsidRPr="00864748">
        <w:rPr>
          <w:rFonts w:ascii="Rockwell" w:hAnsi="Rockwell"/>
          <w:sz w:val="24"/>
          <w:szCs w:val="24"/>
        </w:rPr>
        <w:t xml:space="preserve">Exports of Paint and Coating products have reached US$ </w:t>
      </w:r>
      <w:r w:rsidR="00864748" w:rsidRPr="00864748">
        <w:rPr>
          <w:rFonts w:ascii="Rockwell" w:hAnsi="Rockwell"/>
          <w:sz w:val="24"/>
          <w:szCs w:val="24"/>
        </w:rPr>
        <w:t>1488.94</w:t>
      </w:r>
      <w:r w:rsidRPr="00864748">
        <w:rPr>
          <w:rFonts w:ascii="Rockwell" w:hAnsi="Rockwell"/>
          <w:sz w:val="24"/>
          <w:szCs w:val="24"/>
        </w:rPr>
        <w:t xml:space="preserve"> million during April to </w:t>
      </w:r>
      <w:r w:rsidR="009C6957" w:rsidRPr="00864748">
        <w:rPr>
          <w:rFonts w:ascii="Rockwell" w:hAnsi="Rockwell"/>
          <w:sz w:val="24"/>
          <w:szCs w:val="24"/>
        </w:rPr>
        <w:t>February</w:t>
      </w:r>
      <w:r w:rsidR="004545E4" w:rsidRPr="00864748">
        <w:rPr>
          <w:rFonts w:ascii="Rockwell" w:hAnsi="Rockwell"/>
          <w:sz w:val="24"/>
          <w:szCs w:val="24"/>
        </w:rPr>
        <w:t xml:space="preserve"> 2023</w:t>
      </w:r>
      <w:r w:rsidRPr="00864748">
        <w:rPr>
          <w:rFonts w:ascii="Rockwell" w:hAnsi="Rockwell"/>
          <w:sz w:val="24"/>
          <w:szCs w:val="24"/>
        </w:rPr>
        <w:t xml:space="preserve"> and showing a decline of </w:t>
      </w:r>
      <w:r w:rsidR="00864748" w:rsidRPr="00864748">
        <w:rPr>
          <w:rFonts w:ascii="Rockwell" w:hAnsi="Rockwell"/>
          <w:sz w:val="24"/>
          <w:szCs w:val="24"/>
        </w:rPr>
        <w:t>-4.50</w:t>
      </w:r>
      <w:r w:rsidRPr="00864748">
        <w:rPr>
          <w:rFonts w:ascii="Rockwell" w:hAnsi="Rockwell"/>
          <w:sz w:val="24"/>
          <w:szCs w:val="24"/>
        </w:rPr>
        <w:t>% compared to same period last year.  Demand of decorative and industrial paint segments in overseas markets are showing declining trend in each passing months.</w:t>
      </w:r>
    </w:p>
    <w:p w:rsidR="00190EB2" w:rsidRPr="00D3024A" w:rsidRDefault="00190EB2" w:rsidP="00190EB2">
      <w:pPr>
        <w:pStyle w:val="ListParagraph"/>
        <w:rPr>
          <w:rFonts w:ascii="Rockwell" w:hAnsi="Rockwell"/>
          <w:color w:val="FF0000"/>
          <w:sz w:val="24"/>
          <w:szCs w:val="24"/>
        </w:rPr>
      </w:pPr>
    </w:p>
    <w:p w:rsidR="00190EB2" w:rsidRPr="00864748" w:rsidRDefault="00190EB2" w:rsidP="0086474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Rockwell" w:eastAsia="Times New Roman" w:hAnsi="Rockwell" w:cs="Arial"/>
          <w:sz w:val="24"/>
          <w:szCs w:val="24"/>
          <w:lang w:eastAsia="en-IN"/>
        </w:rPr>
      </w:pPr>
      <w:r w:rsidRPr="00864748">
        <w:rPr>
          <w:rFonts w:ascii="Rockwell" w:hAnsi="Rockwell" w:cs="Times New Roman"/>
          <w:sz w:val="24"/>
          <w:szCs w:val="24"/>
        </w:rPr>
        <w:t xml:space="preserve">Exports of Plywood and Allied products have declined by </w:t>
      </w:r>
      <w:r w:rsidR="00864748" w:rsidRPr="00864748">
        <w:rPr>
          <w:rFonts w:ascii="Rockwell" w:hAnsi="Rockwell" w:cs="Times New Roman"/>
          <w:sz w:val="24"/>
          <w:szCs w:val="24"/>
        </w:rPr>
        <w:t>-12.83</w:t>
      </w:r>
      <w:r w:rsidRPr="00864748">
        <w:rPr>
          <w:rFonts w:ascii="Rockwell" w:hAnsi="Rockwell" w:cs="Times New Roman"/>
          <w:sz w:val="24"/>
          <w:szCs w:val="24"/>
        </w:rPr>
        <w:t xml:space="preserve">% with a value of US$ </w:t>
      </w:r>
      <w:r w:rsidR="00864748" w:rsidRPr="00864748">
        <w:rPr>
          <w:rFonts w:ascii="Rockwell" w:hAnsi="Rockwell" w:cs="Times New Roman"/>
          <w:sz w:val="24"/>
          <w:szCs w:val="24"/>
        </w:rPr>
        <w:t>1050.11</w:t>
      </w:r>
      <w:r w:rsidRPr="00864748">
        <w:rPr>
          <w:rFonts w:ascii="Rockwell" w:hAnsi="Rockwell" w:cs="Times New Roman"/>
          <w:sz w:val="24"/>
          <w:szCs w:val="24"/>
        </w:rPr>
        <w:t xml:space="preserve"> million during April to </w:t>
      </w:r>
      <w:r w:rsidR="009C6957" w:rsidRPr="00864748">
        <w:rPr>
          <w:rFonts w:ascii="Rockwell" w:hAnsi="Rockwell" w:cs="Times New Roman"/>
          <w:sz w:val="24"/>
          <w:szCs w:val="24"/>
        </w:rPr>
        <w:t>February</w:t>
      </w:r>
      <w:r w:rsidR="002424EB" w:rsidRPr="00864748">
        <w:rPr>
          <w:rFonts w:ascii="Rockwell" w:hAnsi="Rockwell" w:cs="Times New Roman"/>
          <w:sz w:val="24"/>
          <w:szCs w:val="24"/>
        </w:rPr>
        <w:t xml:space="preserve"> 2023</w:t>
      </w:r>
      <w:r w:rsidRPr="00864748">
        <w:rPr>
          <w:rFonts w:ascii="Rockwell" w:hAnsi="Rockwell" w:cs="Times New Roman"/>
          <w:sz w:val="24"/>
          <w:szCs w:val="24"/>
        </w:rPr>
        <w:t xml:space="preserve"> due to decline in Furniture products </w:t>
      </w:r>
      <w:r w:rsidRPr="00864748">
        <w:rPr>
          <w:rFonts w:ascii="Rockwell" w:eastAsia="Times New Roman" w:hAnsi="Rockwell" w:cs="Arial"/>
          <w:sz w:val="24"/>
          <w:szCs w:val="24"/>
          <w:lang w:eastAsia="en-IN"/>
        </w:rPr>
        <w:t xml:space="preserve">in USA, UK and major European markets. </w:t>
      </w:r>
    </w:p>
    <w:p w:rsidR="00190EB2" w:rsidRPr="00D3024A" w:rsidRDefault="00190EB2" w:rsidP="00190EB2">
      <w:pPr>
        <w:pStyle w:val="ListParagraph"/>
        <w:shd w:val="clear" w:color="auto" w:fill="FFFFFF"/>
        <w:spacing w:before="100" w:beforeAutospacing="1" w:after="0" w:afterAutospacing="1" w:line="240" w:lineRule="auto"/>
        <w:jc w:val="both"/>
        <w:rPr>
          <w:rFonts w:ascii="Rockwell" w:hAnsi="Rockwell"/>
          <w:color w:val="FF0000"/>
          <w:sz w:val="24"/>
          <w:szCs w:val="24"/>
        </w:rPr>
      </w:pPr>
    </w:p>
    <w:p w:rsidR="00190EB2" w:rsidRPr="00864748" w:rsidRDefault="00190EB2" w:rsidP="00864748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Rockwell" w:hAnsi="Rockwell"/>
          <w:sz w:val="24"/>
          <w:szCs w:val="24"/>
        </w:rPr>
      </w:pPr>
      <w:r w:rsidRPr="00864748">
        <w:rPr>
          <w:rFonts w:ascii="Rockwell" w:hAnsi="Rockwell" w:cs="Times New Roman"/>
          <w:sz w:val="24"/>
          <w:szCs w:val="24"/>
        </w:rPr>
        <w:t xml:space="preserve">The exports of Glass and Glassware products have reached US$ </w:t>
      </w:r>
      <w:r w:rsidR="00864748" w:rsidRPr="00864748">
        <w:rPr>
          <w:rFonts w:ascii="Rockwell" w:hAnsi="Rockwell" w:cs="Times New Roman"/>
          <w:sz w:val="24"/>
          <w:szCs w:val="24"/>
        </w:rPr>
        <w:t>1014.44</w:t>
      </w:r>
      <w:r w:rsidRPr="00864748">
        <w:rPr>
          <w:rFonts w:ascii="Rockwell" w:hAnsi="Rockwell" w:cs="Times New Roman"/>
          <w:sz w:val="24"/>
          <w:szCs w:val="24"/>
        </w:rPr>
        <w:t xml:space="preserve"> million and showing an impressive growth of </w:t>
      </w:r>
      <w:r w:rsidR="00864748" w:rsidRPr="00864748">
        <w:rPr>
          <w:rFonts w:ascii="Rockwell" w:hAnsi="Rockwell" w:cs="Times New Roman"/>
          <w:sz w:val="24"/>
          <w:szCs w:val="24"/>
        </w:rPr>
        <w:t>20.32</w:t>
      </w:r>
      <w:r w:rsidRPr="00864748">
        <w:rPr>
          <w:rFonts w:ascii="Rockwell" w:hAnsi="Rockwell" w:cs="Times New Roman"/>
          <w:sz w:val="24"/>
          <w:szCs w:val="24"/>
        </w:rPr>
        <w:t xml:space="preserve">% due to high growth in glass packing segment.  </w:t>
      </w:r>
      <w:r w:rsidRPr="00864748">
        <w:rPr>
          <w:rFonts w:ascii="Rockwell" w:eastAsia="Times New Roman" w:hAnsi="Rockwell" w:cs="Times New Roman"/>
          <w:bCs/>
          <w:sz w:val="24"/>
          <w:szCs w:val="24"/>
          <w:lang w:eastAsia="en-IN"/>
        </w:rPr>
        <w:t xml:space="preserve">Though there is positive growth in export of Glass and Glassware Products during April to </w:t>
      </w:r>
      <w:r w:rsidR="009C6957" w:rsidRPr="00864748">
        <w:rPr>
          <w:rFonts w:ascii="Rockwell" w:eastAsia="Times New Roman" w:hAnsi="Rockwell" w:cs="Times New Roman"/>
          <w:bCs/>
          <w:sz w:val="24"/>
          <w:szCs w:val="24"/>
          <w:lang w:eastAsia="en-IN"/>
        </w:rPr>
        <w:t>February</w:t>
      </w:r>
      <w:r w:rsidR="001924A7" w:rsidRPr="00864748">
        <w:rPr>
          <w:rFonts w:ascii="Rockwell" w:eastAsia="Times New Roman" w:hAnsi="Rockwell" w:cs="Times New Roman"/>
          <w:bCs/>
          <w:sz w:val="24"/>
          <w:szCs w:val="24"/>
          <w:lang w:eastAsia="en-IN"/>
        </w:rPr>
        <w:t xml:space="preserve"> 2023 </w:t>
      </w:r>
      <w:r w:rsidRPr="00864748">
        <w:rPr>
          <w:rFonts w:ascii="Rockwell" w:eastAsia="Times New Roman" w:hAnsi="Rockwell" w:cs="Times New Roman"/>
          <w:bCs/>
          <w:sz w:val="24"/>
          <w:szCs w:val="24"/>
          <w:lang w:eastAsia="en-IN"/>
        </w:rPr>
        <w:t>period, there is still shortfall in target set by the Ministry for this Panel.</w:t>
      </w:r>
    </w:p>
    <w:p w:rsidR="00010C07" w:rsidRPr="00D3024A" w:rsidRDefault="00010C07" w:rsidP="00010C07">
      <w:pPr>
        <w:pStyle w:val="ListParagraph"/>
        <w:rPr>
          <w:rFonts w:ascii="Rockwell" w:hAnsi="Rockwell"/>
          <w:color w:val="FF0000"/>
          <w:sz w:val="24"/>
          <w:szCs w:val="24"/>
        </w:rPr>
      </w:pPr>
    </w:p>
    <w:p w:rsidR="00010C07" w:rsidRPr="00864748" w:rsidRDefault="00010C07" w:rsidP="00864748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Rockwell" w:hAnsi="Rockwell"/>
          <w:sz w:val="24"/>
          <w:szCs w:val="24"/>
        </w:rPr>
      </w:pPr>
      <w:r w:rsidRPr="00864748">
        <w:rPr>
          <w:rFonts w:ascii="Rockwell" w:hAnsi="Rockwell"/>
          <w:sz w:val="24"/>
          <w:szCs w:val="24"/>
        </w:rPr>
        <w:t xml:space="preserve">Exports of Miscellaneous Products Panel have reached US$ </w:t>
      </w:r>
      <w:r w:rsidR="00864748" w:rsidRPr="00864748">
        <w:rPr>
          <w:rFonts w:ascii="Rockwell" w:hAnsi="Rockwell"/>
          <w:sz w:val="24"/>
          <w:szCs w:val="24"/>
        </w:rPr>
        <w:t>774.59</w:t>
      </w:r>
      <w:r w:rsidRPr="00864748">
        <w:rPr>
          <w:rFonts w:ascii="Rockwell" w:hAnsi="Rockwell"/>
          <w:sz w:val="24"/>
          <w:szCs w:val="24"/>
        </w:rPr>
        <w:t xml:space="preserve"> million during April to </w:t>
      </w:r>
      <w:r w:rsidR="009C6957" w:rsidRPr="00864748">
        <w:rPr>
          <w:rFonts w:ascii="Rockwell" w:hAnsi="Rockwell"/>
          <w:sz w:val="24"/>
          <w:szCs w:val="24"/>
        </w:rPr>
        <w:t>February</w:t>
      </w:r>
      <w:r w:rsidRPr="00864748">
        <w:rPr>
          <w:rFonts w:ascii="Rockwell" w:hAnsi="Rockwell"/>
          <w:sz w:val="24"/>
          <w:szCs w:val="24"/>
        </w:rPr>
        <w:t xml:space="preserve"> 2023 and showing an impressive growth of </w:t>
      </w:r>
      <w:r w:rsidR="00864748" w:rsidRPr="00864748">
        <w:rPr>
          <w:rFonts w:ascii="Rockwell" w:hAnsi="Rockwell"/>
          <w:sz w:val="24"/>
          <w:szCs w:val="24"/>
        </w:rPr>
        <w:t>23.67</w:t>
      </w:r>
      <w:r w:rsidRPr="00864748">
        <w:rPr>
          <w:rFonts w:ascii="Rockwell" w:hAnsi="Rockwell"/>
          <w:sz w:val="24"/>
          <w:szCs w:val="24"/>
        </w:rPr>
        <w:t xml:space="preserve">  percentage compared to April to </w:t>
      </w:r>
      <w:r w:rsidR="009C6957" w:rsidRPr="00864748">
        <w:rPr>
          <w:rFonts w:ascii="Rockwell" w:hAnsi="Rockwell"/>
          <w:sz w:val="24"/>
          <w:szCs w:val="24"/>
        </w:rPr>
        <w:t>February</w:t>
      </w:r>
      <w:r w:rsidRPr="00864748">
        <w:rPr>
          <w:rFonts w:ascii="Rockwell" w:hAnsi="Rockwell"/>
          <w:sz w:val="24"/>
          <w:szCs w:val="24"/>
        </w:rPr>
        <w:t xml:space="preserve"> 2023.</w:t>
      </w:r>
    </w:p>
    <w:p w:rsidR="00190EB2" w:rsidRPr="00D3024A" w:rsidRDefault="00190EB2" w:rsidP="00190EB2">
      <w:pPr>
        <w:pStyle w:val="ListParagraph"/>
        <w:rPr>
          <w:rFonts w:ascii="Rockwell" w:hAnsi="Rockwell"/>
          <w:color w:val="FF0000"/>
          <w:sz w:val="24"/>
          <w:szCs w:val="24"/>
        </w:rPr>
      </w:pPr>
    </w:p>
    <w:p w:rsidR="00190EB2" w:rsidRPr="00864748" w:rsidRDefault="00190EB2" w:rsidP="00190EB2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Rockwell" w:hAnsi="Rockwell"/>
          <w:sz w:val="24"/>
          <w:szCs w:val="24"/>
        </w:rPr>
      </w:pPr>
      <w:r w:rsidRPr="00864748">
        <w:rPr>
          <w:rFonts w:ascii="Rockwell" w:hAnsi="Rockwell" w:cs="Arial"/>
          <w:sz w:val="24"/>
          <w:szCs w:val="24"/>
          <w:shd w:val="clear" w:color="auto" w:fill="FFFFFF"/>
        </w:rPr>
        <w:lastRenderedPageBreak/>
        <w:t xml:space="preserve">Exports of Cement, Clinkers and Asbestos Cement Products have declined by </w:t>
      </w:r>
      <w:r w:rsidR="00864748" w:rsidRPr="00864748">
        <w:rPr>
          <w:rFonts w:ascii="Rockwell" w:hAnsi="Rockwell" w:cs="Arial"/>
          <w:sz w:val="24"/>
          <w:szCs w:val="24"/>
          <w:shd w:val="clear" w:color="auto" w:fill="FFFFFF"/>
        </w:rPr>
        <w:t>-8.99</w:t>
      </w:r>
      <w:r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% during April to </w:t>
      </w:r>
      <w:r w:rsidR="009C6957" w:rsidRPr="00864748">
        <w:rPr>
          <w:rFonts w:ascii="Rockwell" w:hAnsi="Rockwell" w:cs="Arial"/>
          <w:sz w:val="24"/>
          <w:szCs w:val="24"/>
          <w:shd w:val="clear" w:color="auto" w:fill="FFFFFF"/>
        </w:rPr>
        <w:t>February</w:t>
      </w:r>
      <w:r w:rsidR="00010C07"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 2023</w:t>
      </w:r>
      <w:r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.  Mainly because, housing, construction and infrastructure sector are showing declining trend in major markets.  </w:t>
      </w:r>
    </w:p>
    <w:p w:rsidR="00190EB2" w:rsidRPr="00D3024A" w:rsidRDefault="00190EB2" w:rsidP="00190EB2">
      <w:pPr>
        <w:pStyle w:val="ListParagraph"/>
        <w:rPr>
          <w:rFonts w:ascii="Rockwell" w:hAnsi="Rockwell"/>
          <w:color w:val="FF0000"/>
          <w:sz w:val="24"/>
          <w:szCs w:val="24"/>
        </w:rPr>
      </w:pPr>
    </w:p>
    <w:p w:rsidR="00190EB2" w:rsidRPr="00864748" w:rsidRDefault="00190EB2" w:rsidP="00190EB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Rockwell" w:hAnsi="Rockwell"/>
          <w:sz w:val="24"/>
          <w:szCs w:val="24"/>
        </w:rPr>
      </w:pPr>
      <w:r w:rsidRPr="00864748">
        <w:rPr>
          <w:rFonts w:ascii="Rockwell" w:hAnsi="Rockwell"/>
          <w:sz w:val="24"/>
          <w:szCs w:val="24"/>
          <w:shd w:val="clear" w:color="auto" w:fill="FFFFFF"/>
        </w:rPr>
        <w:t>Exports of Books and Publications Products a</w:t>
      </w:r>
      <w:r w:rsidR="00010C07" w:rsidRPr="00864748">
        <w:rPr>
          <w:rFonts w:ascii="Rockwell" w:hAnsi="Rockwell"/>
          <w:sz w:val="24"/>
          <w:szCs w:val="24"/>
          <w:shd w:val="clear" w:color="auto" w:fill="FFFFFF"/>
        </w:rPr>
        <w:t xml:space="preserve">re showing a growth of nearly </w:t>
      </w:r>
      <w:r w:rsidR="00864748" w:rsidRPr="00864748">
        <w:rPr>
          <w:rFonts w:ascii="Rockwell" w:hAnsi="Rockwell"/>
          <w:sz w:val="24"/>
          <w:szCs w:val="24"/>
          <w:shd w:val="clear" w:color="auto" w:fill="FFFFFF"/>
        </w:rPr>
        <w:t>8.19</w:t>
      </w:r>
      <w:r w:rsidRPr="00864748">
        <w:rPr>
          <w:rFonts w:ascii="Rockwell" w:hAnsi="Rockwell"/>
          <w:sz w:val="24"/>
          <w:szCs w:val="24"/>
          <w:shd w:val="clear" w:color="auto" w:fill="FFFFFF"/>
        </w:rPr>
        <w:t xml:space="preserve">% due to reopening of educational institutes in overseas markets created demand for books, publication, stationery and packaging products.  </w:t>
      </w:r>
    </w:p>
    <w:p w:rsidR="00190EB2" w:rsidRPr="00D3024A" w:rsidRDefault="00190EB2" w:rsidP="00190EB2">
      <w:pPr>
        <w:pStyle w:val="ListParagraph"/>
        <w:rPr>
          <w:rFonts w:ascii="Rockwell" w:hAnsi="Rockwell"/>
          <w:color w:val="FF0000"/>
          <w:sz w:val="24"/>
          <w:szCs w:val="24"/>
        </w:rPr>
      </w:pPr>
    </w:p>
    <w:p w:rsidR="00190EB2" w:rsidRPr="00864748" w:rsidRDefault="00190EB2" w:rsidP="00190EB2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Rockwell" w:hAnsi="Rockwell"/>
          <w:sz w:val="24"/>
          <w:szCs w:val="24"/>
        </w:rPr>
      </w:pPr>
      <w:r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Exports of Animal by Products have declined by </w:t>
      </w:r>
      <w:r w:rsidR="00864748" w:rsidRPr="00864748">
        <w:rPr>
          <w:rFonts w:ascii="Rockwell" w:hAnsi="Rockwell" w:cs="Arial"/>
          <w:sz w:val="24"/>
          <w:szCs w:val="24"/>
          <w:shd w:val="clear" w:color="auto" w:fill="FFFFFF"/>
        </w:rPr>
        <w:t>-3.24</w:t>
      </w:r>
      <w:r w:rsidR="003077E9" w:rsidRPr="00864748">
        <w:rPr>
          <w:rFonts w:ascii="Rockwell" w:hAnsi="Rockwell" w:cs="Arial"/>
          <w:sz w:val="24"/>
          <w:szCs w:val="24"/>
          <w:shd w:val="clear" w:color="auto" w:fill="FFFFFF"/>
        </w:rPr>
        <w:t>%</w:t>
      </w:r>
      <w:r w:rsidR="00864748"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 </w:t>
      </w:r>
      <w:r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during April to </w:t>
      </w:r>
      <w:r w:rsidR="009C6957" w:rsidRPr="00864748">
        <w:rPr>
          <w:rFonts w:ascii="Rockwell" w:hAnsi="Rockwell" w:cs="Arial"/>
          <w:sz w:val="24"/>
          <w:szCs w:val="24"/>
          <w:shd w:val="clear" w:color="auto" w:fill="FFFFFF"/>
        </w:rPr>
        <w:t>February</w:t>
      </w:r>
      <w:r w:rsidR="003077E9"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 2023</w:t>
      </w:r>
      <w:r w:rsidRPr="00864748">
        <w:rPr>
          <w:rFonts w:ascii="Rockwell" w:hAnsi="Rockwell" w:cs="Arial"/>
          <w:sz w:val="24"/>
          <w:szCs w:val="24"/>
          <w:shd w:val="clear" w:color="auto" w:fill="FFFFFF"/>
        </w:rPr>
        <w:t xml:space="preserve">.  Exports to Thailand is showing declining trend.  </w:t>
      </w:r>
    </w:p>
    <w:p w:rsidR="00190EB2" w:rsidRPr="00D3024A" w:rsidRDefault="00190EB2" w:rsidP="00190EB2">
      <w:pPr>
        <w:pStyle w:val="ListParagraph"/>
        <w:rPr>
          <w:rFonts w:ascii="Rockwell" w:hAnsi="Rockwell"/>
          <w:color w:val="FF0000"/>
          <w:sz w:val="24"/>
          <w:szCs w:val="24"/>
        </w:rPr>
      </w:pPr>
    </w:p>
    <w:p w:rsidR="00190EB2" w:rsidRPr="00864748" w:rsidRDefault="00190EB2" w:rsidP="00190EB2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Rockwell" w:hAnsi="Rockwell"/>
          <w:sz w:val="24"/>
          <w:szCs w:val="24"/>
        </w:rPr>
      </w:pPr>
      <w:r w:rsidRPr="00864748">
        <w:rPr>
          <w:rFonts w:ascii="Rockwell" w:hAnsi="Rockwell"/>
          <w:sz w:val="24"/>
          <w:szCs w:val="24"/>
        </w:rPr>
        <w:t>Other Panel Products like Graphite, Exp</w:t>
      </w:r>
      <w:r w:rsidR="003077E9" w:rsidRPr="00864748">
        <w:rPr>
          <w:rFonts w:ascii="Rockwell" w:hAnsi="Rockwell"/>
          <w:sz w:val="24"/>
          <w:szCs w:val="24"/>
        </w:rPr>
        <w:t>losive and Accessories Panel (</w:t>
      </w:r>
      <w:r w:rsidR="00864748" w:rsidRPr="00864748">
        <w:rPr>
          <w:rFonts w:ascii="Rockwell" w:hAnsi="Rockwell"/>
          <w:sz w:val="24"/>
          <w:szCs w:val="24"/>
        </w:rPr>
        <w:t>49.95</w:t>
      </w:r>
      <w:r w:rsidRPr="00864748">
        <w:rPr>
          <w:rFonts w:ascii="Rockwell" w:hAnsi="Rockwell"/>
          <w:sz w:val="24"/>
          <w:szCs w:val="24"/>
        </w:rPr>
        <w:t xml:space="preserve">%) and </w:t>
      </w:r>
      <w:r w:rsidR="003077E9" w:rsidRPr="00864748">
        <w:rPr>
          <w:rFonts w:ascii="Rockwell" w:hAnsi="Rockwell"/>
          <w:sz w:val="24"/>
          <w:szCs w:val="24"/>
        </w:rPr>
        <w:t>Ossein and Gelatine products (</w:t>
      </w:r>
      <w:r w:rsidR="00864748" w:rsidRPr="00864748">
        <w:rPr>
          <w:rFonts w:ascii="Rockwell" w:hAnsi="Rockwell"/>
          <w:sz w:val="24"/>
          <w:szCs w:val="24"/>
        </w:rPr>
        <w:t>18.30</w:t>
      </w:r>
      <w:r w:rsidRPr="00864748">
        <w:rPr>
          <w:rFonts w:ascii="Rockwell" w:hAnsi="Rockwell"/>
          <w:sz w:val="24"/>
          <w:szCs w:val="24"/>
        </w:rPr>
        <w:t xml:space="preserve">%) are also showing </w:t>
      </w:r>
      <w:r w:rsidR="009D0095" w:rsidRPr="00864748">
        <w:rPr>
          <w:rFonts w:ascii="Rockwell" w:hAnsi="Rockwell"/>
          <w:sz w:val="24"/>
          <w:szCs w:val="24"/>
        </w:rPr>
        <w:t>a</w:t>
      </w:r>
      <w:r w:rsidRPr="00864748">
        <w:rPr>
          <w:rFonts w:ascii="Rockwell" w:hAnsi="Rockwell"/>
          <w:sz w:val="24"/>
          <w:szCs w:val="24"/>
        </w:rPr>
        <w:t xml:space="preserve"> </w:t>
      </w:r>
      <w:r w:rsidR="009D0095" w:rsidRPr="00864748">
        <w:rPr>
          <w:rFonts w:ascii="Rockwell" w:hAnsi="Rockwell"/>
          <w:sz w:val="24"/>
          <w:szCs w:val="24"/>
        </w:rPr>
        <w:t>significant growth</w:t>
      </w:r>
      <w:r w:rsidRPr="00864748">
        <w:rPr>
          <w:rFonts w:ascii="Rockwell" w:hAnsi="Rockwell"/>
          <w:sz w:val="24"/>
          <w:szCs w:val="24"/>
        </w:rPr>
        <w:t xml:space="preserve"> during April to </w:t>
      </w:r>
      <w:r w:rsidR="009C6957" w:rsidRPr="00864748">
        <w:rPr>
          <w:rFonts w:ascii="Rockwell" w:hAnsi="Rockwell"/>
          <w:sz w:val="24"/>
          <w:szCs w:val="24"/>
        </w:rPr>
        <w:t>February</w:t>
      </w:r>
      <w:r w:rsidR="003077E9" w:rsidRPr="00864748">
        <w:rPr>
          <w:rFonts w:ascii="Rockwell" w:hAnsi="Rockwell"/>
          <w:sz w:val="24"/>
          <w:szCs w:val="24"/>
        </w:rPr>
        <w:t xml:space="preserve"> 2023 </w:t>
      </w:r>
      <w:r w:rsidRPr="00864748">
        <w:rPr>
          <w:rFonts w:ascii="Rockwell" w:hAnsi="Rockwell"/>
          <w:sz w:val="24"/>
          <w:szCs w:val="24"/>
        </w:rPr>
        <w:t>due to continued demand in the overseas markets.</w:t>
      </w:r>
    </w:p>
    <w:p w:rsidR="00190EB2" w:rsidRPr="001938B2" w:rsidRDefault="00190EB2" w:rsidP="00EC1748">
      <w:pPr>
        <w:autoSpaceDE w:val="0"/>
        <w:autoSpaceDN w:val="0"/>
        <w:adjustRightInd w:val="0"/>
        <w:spacing w:after="0"/>
        <w:jc w:val="both"/>
        <w:rPr>
          <w:rFonts w:ascii="Rockwell" w:hAnsi="Rockwell"/>
          <w:sz w:val="20"/>
          <w:szCs w:val="20"/>
        </w:rPr>
      </w:pPr>
    </w:p>
    <w:p w:rsidR="00D75D02" w:rsidRPr="00EC70CF" w:rsidRDefault="00D75D02" w:rsidP="00D75D02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1938B2">
        <w:rPr>
          <w:rFonts w:ascii="Rockwell" w:hAnsi="Rockwell" w:cs="Times New Roman"/>
          <w:b/>
          <w:color w:val="000000" w:themeColor="text1"/>
          <w:sz w:val="20"/>
          <w:szCs w:val="20"/>
          <w:u w:val="single"/>
        </w:rPr>
        <w:t>PANEL WISE EXPORTS OF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>CAPEXIL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 xml:space="preserve"> DURING </w:t>
      </w:r>
      <w:r w:rsidR="00030829"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>APR</w:t>
      </w:r>
      <w:r w:rsidR="00744EAD"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>IL</w:t>
      </w:r>
      <w:r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>-</w:t>
      </w:r>
      <w:r w:rsidR="009C6957"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>FEBRUARY</w:t>
      </w:r>
      <w:r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83363"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>2023</w:t>
      </w:r>
    </w:p>
    <w:p w:rsidR="00D75D02" w:rsidRPr="00EC70CF" w:rsidRDefault="00D75D02" w:rsidP="00D75D02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</w:pPr>
    </w:p>
    <w:p w:rsidR="00D75D02" w:rsidRDefault="00D75D02" w:rsidP="00D75D02">
      <w:pPr>
        <w:pStyle w:val="ListParagraph"/>
        <w:numPr>
          <w:ilvl w:val="0"/>
          <w:numId w:val="8"/>
        </w:numPr>
        <w:spacing w:after="0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Out of 16 Panels of </w:t>
      </w:r>
      <w:r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, </w:t>
      </w:r>
      <w:r w:rsidR="00E922D1">
        <w:rPr>
          <w:rFonts w:ascii="Rockwell" w:hAnsi="Rockwell" w:cs="Times New Roman"/>
          <w:color w:val="000000" w:themeColor="text1"/>
          <w:sz w:val="24"/>
          <w:szCs w:val="24"/>
        </w:rPr>
        <w:t>9</w:t>
      </w:r>
      <w:r w:rsidR="00107576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Panels are showing positive growth during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compared to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2022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. </w:t>
      </w:r>
    </w:p>
    <w:tbl>
      <w:tblPr>
        <w:tblW w:w="11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830"/>
        <w:gridCol w:w="900"/>
        <w:gridCol w:w="1019"/>
        <w:gridCol w:w="1231"/>
        <w:gridCol w:w="1231"/>
        <w:gridCol w:w="1019"/>
      </w:tblGrid>
      <w:tr w:rsidR="00D93CD0" w:rsidRPr="00EC70CF" w:rsidTr="00E922D1">
        <w:trPr>
          <w:trHeight w:val="291"/>
          <w:jc w:val="center"/>
        </w:trPr>
        <w:tc>
          <w:tcPr>
            <w:tcW w:w="11121" w:type="dxa"/>
            <w:gridSpan w:val="7"/>
            <w:shd w:val="clear" w:color="auto" w:fill="548DD4" w:themeFill="text2" w:themeFillTint="99"/>
            <w:noWrap/>
            <w:vAlign w:val="bottom"/>
          </w:tcPr>
          <w:p w:rsidR="00D93CD0" w:rsidRPr="00EC70CF" w:rsidRDefault="00D93CD0" w:rsidP="00190EB2">
            <w:pPr>
              <w:spacing w:after="0"/>
              <w:ind w:left="36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PANEL WISE, VALUE WISE </w:t>
            </w: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EXPORTS OF </w:t>
            </w: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CAPEXIL</w:t>
            </w: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DURING </w:t>
            </w:r>
            <w:r w:rsidR="00030829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APR</w:t>
            </w:r>
            <w:r w:rsidR="00744EAD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IL</w:t>
            </w: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FEBRUARY</w:t>
            </w: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</w:t>
            </w:r>
            <w:r w:rsidR="00190EB2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-23</w:t>
            </w:r>
          </w:p>
        </w:tc>
      </w:tr>
      <w:tr w:rsidR="00D93CD0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548DD4" w:themeFill="text2" w:themeFillTint="99"/>
            <w:noWrap/>
            <w:vAlign w:val="center"/>
            <w:hideMark/>
          </w:tcPr>
          <w:p w:rsidR="00D93CD0" w:rsidRPr="00EC70CF" w:rsidRDefault="00D93CD0" w:rsidP="00AF5220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Name of the Panels</w:t>
            </w:r>
          </w:p>
        </w:tc>
        <w:tc>
          <w:tcPr>
            <w:tcW w:w="830" w:type="dxa"/>
            <w:shd w:val="clear" w:color="auto" w:fill="548DD4" w:themeFill="text2" w:themeFillTint="99"/>
            <w:noWrap/>
            <w:vAlign w:val="center"/>
            <w:hideMark/>
          </w:tcPr>
          <w:p w:rsidR="00D93CD0" w:rsidRPr="00EC70CF" w:rsidRDefault="009C6957" w:rsidP="00744EAD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E922D1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2022</w:t>
            </w:r>
          </w:p>
        </w:tc>
        <w:tc>
          <w:tcPr>
            <w:tcW w:w="900" w:type="dxa"/>
            <w:shd w:val="clear" w:color="auto" w:fill="548DD4" w:themeFill="text2" w:themeFillTint="99"/>
            <w:noWrap/>
            <w:vAlign w:val="center"/>
            <w:hideMark/>
          </w:tcPr>
          <w:p w:rsidR="00D93CD0" w:rsidRPr="00EC70CF" w:rsidRDefault="009C6957" w:rsidP="00744EAD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E922D1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2023</w:t>
            </w:r>
          </w:p>
        </w:tc>
        <w:tc>
          <w:tcPr>
            <w:tcW w:w="1019" w:type="dxa"/>
            <w:shd w:val="clear" w:color="auto" w:fill="548DD4" w:themeFill="text2" w:themeFillTint="99"/>
            <w:vAlign w:val="center"/>
          </w:tcPr>
          <w:p w:rsidR="00D93CD0" w:rsidRPr="00EC70CF" w:rsidRDefault="00D93CD0" w:rsidP="00AF5220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% Growth</w:t>
            </w:r>
          </w:p>
        </w:tc>
        <w:tc>
          <w:tcPr>
            <w:tcW w:w="1231" w:type="dxa"/>
            <w:shd w:val="clear" w:color="auto" w:fill="548DD4" w:themeFill="text2" w:themeFillTint="99"/>
            <w:vAlign w:val="center"/>
          </w:tcPr>
          <w:p w:rsidR="00D93CD0" w:rsidRPr="00EC70CF" w:rsidRDefault="00030829" w:rsidP="00AF5220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APR</w:t>
            </w:r>
            <w:r w:rsidR="00D93CD0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E922D1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2022</w:t>
            </w:r>
          </w:p>
        </w:tc>
        <w:tc>
          <w:tcPr>
            <w:tcW w:w="1231" w:type="dxa"/>
            <w:shd w:val="clear" w:color="auto" w:fill="548DD4" w:themeFill="text2" w:themeFillTint="99"/>
            <w:vAlign w:val="center"/>
          </w:tcPr>
          <w:p w:rsidR="00D93CD0" w:rsidRPr="00EC70CF" w:rsidRDefault="00030829" w:rsidP="00AF5220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APR</w:t>
            </w:r>
            <w:r w:rsidR="00D93CD0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E922D1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2023</w:t>
            </w:r>
          </w:p>
        </w:tc>
        <w:tc>
          <w:tcPr>
            <w:tcW w:w="1019" w:type="dxa"/>
            <w:shd w:val="clear" w:color="auto" w:fill="548DD4" w:themeFill="text2" w:themeFillTint="99"/>
            <w:vAlign w:val="center"/>
          </w:tcPr>
          <w:p w:rsidR="00D93CD0" w:rsidRPr="00EC70CF" w:rsidRDefault="00D93CD0" w:rsidP="00AF5220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% Growth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Bulk Minerals and Ores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841.81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749.77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-10.93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8697.86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6580.72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-24.34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Paper, Paper Board and Products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277.50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206.39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-25.63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2921.51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2779.85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-4.85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Auto Tyres and Tubes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242.87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220.34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-9.28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2635.06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2722.40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3.31</w:t>
            </w:r>
          </w:p>
        </w:tc>
      </w:tr>
      <w:tr w:rsidR="00C5315E" w:rsidRPr="00EC70CF" w:rsidTr="00F74EB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Ceramics and Allied Products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197.30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251.04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27.24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2233.46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2497.93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11.84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Natural Stones and Products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197.60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176.55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-10.65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2153.88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1885.65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-12.45</w:t>
            </w:r>
          </w:p>
        </w:tc>
      </w:tr>
      <w:tr w:rsidR="00C5315E" w:rsidRPr="00EC70CF" w:rsidTr="00E922D1">
        <w:trPr>
          <w:trHeight w:val="24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Rubber Products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160.11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157.42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-1.68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1650.19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1793.43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8.68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Processed Minerals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101.94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177.65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74.27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1213.74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1525.78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25.71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Paints, Printing Ink and Allied Products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150.50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130.99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-12.96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1559.04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1488.94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-4.50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Plywood and Allied Products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110.00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95.62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-13.07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1204.66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1050.11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-12.83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Glass and Glassware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74.98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81.08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8.14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843.12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1014.44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20.32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Miscellaneous Products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63.58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77.37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21.69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626.34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774.59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23.67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 xml:space="preserve">Graphite, Explosives and Accessories Panel 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39.80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72.83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83.01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395.18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592.56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49.95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Cement, Clinkers and Asbestos Cement Products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60.99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43.66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-28.42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614.14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558.92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-8.99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Animal By Products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37.22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31.31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-15.89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374.43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362.29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-3.24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Books, Publications and Printing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33.47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31.23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-6.70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313.98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339.70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8.19</w:t>
            </w:r>
          </w:p>
        </w:tc>
      </w:tr>
      <w:tr w:rsidR="00C5315E" w:rsidRPr="00EC70CF" w:rsidTr="00E922D1">
        <w:trPr>
          <w:trHeight w:val="291"/>
          <w:jc w:val="center"/>
        </w:trPr>
        <w:tc>
          <w:tcPr>
            <w:tcW w:w="4891" w:type="dxa"/>
            <w:shd w:val="clear" w:color="auto" w:fill="auto"/>
            <w:noWrap/>
            <w:vAlign w:val="bottom"/>
          </w:tcPr>
          <w:p w:rsidR="00C5315E" w:rsidRPr="00280AAD" w:rsidRDefault="00C5315E" w:rsidP="00C5315E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Ossein and Gelatine Panel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5.96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6.98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17.13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60.29</w:t>
            </w:r>
          </w:p>
        </w:tc>
        <w:tc>
          <w:tcPr>
            <w:tcW w:w="1231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71.33</w:t>
            </w:r>
          </w:p>
        </w:tc>
        <w:tc>
          <w:tcPr>
            <w:tcW w:w="1019" w:type="dxa"/>
            <w:vAlign w:val="bottom"/>
          </w:tcPr>
          <w:p w:rsidR="00C5315E" w:rsidRPr="00C5315E" w:rsidRDefault="00C5315E" w:rsidP="00C5315E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C5315E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18.30</w:t>
            </w:r>
          </w:p>
        </w:tc>
      </w:tr>
    </w:tbl>
    <w:p w:rsidR="00D93CD0" w:rsidRDefault="00D93CD0" w:rsidP="00D93CD0">
      <w:pPr>
        <w:pStyle w:val="ListParagraph"/>
        <w:spacing w:after="0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</w:p>
    <w:p w:rsidR="0069333E" w:rsidRPr="004B0F47" w:rsidRDefault="00AF0CAE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4B0F47">
        <w:rPr>
          <w:rFonts w:ascii="Rockwell" w:hAnsi="Rockwell"/>
          <w:sz w:val="24"/>
          <w:szCs w:val="24"/>
        </w:rPr>
        <w:t>V</w:t>
      </w:r>
      <w:r w:rsidR="00D93CD0" w:rsidRPr="004B0F47">
        <w:rPr>
          <w:rFonts w:ascii="Rockwell" w:hAnsi="Rockwell"/>
          <w:sz w:val="24"/>
          <w:szCs w:val="24"/>
        </w:rPr>
        <w:t xml:space="preserve">alue wise maximum exports observed in Bulk Minerals and Ores Panel (From USD </w:t>
      </w:r>
      <w:r w:rsidR="00F74EB1" w:rsidRPr="00F74EB1">
        <w:rPr>
          <w:rFonts w:ascii="Rockwell" w:hAnsi="Rockwell"/>
          <w:sz w:val="24"/>
          <w:szCs w:val="24"/>
        </w:rPr>
        <w:t>8697.86</w:t>
      </w:r>
      <w:r w:rsidR="00D93CD0"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="00D93CD0"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2022</w:t>
      </w:r>
      <w:r w:rsidR="00D93CD0" w:rsidRPr="004B0F47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6580.72</w:t>
      </w:r>
      <w:r w:rsidR="00D93CD0"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="00D93CD0"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2023</w:t>
      </w:r>
      <w:r w:rsidR="00D93CD0" w:rsidRPr="004B0F47">
        <w:rPr>
          <w:rFonts w:ascii="Rockwell" w:hAnsi="Rockwell"/>
          <w:sz w:val="24"/>
          <w:szCs w:val="24"/>
        </w:rPr>
        <w:t xml:space="preserve">)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="00D93CD0"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2023</w:t>
      </w:r>
      <w:r w:rsidR="00D93CD0" w:rsidRPr="004B0F47">
        <w:rPr>
          <w:rFonts w:ascii="Rockwell" w:hAnsi="Rockwell"/>
          <w:sz w:val="24"/>
          <w:szCs w:val="24"/>
        </w:rPr>
        <w:t xml:space="preserve"> followed by </w:t>
      </w:r>
    </w:p>
    <w:p w:rsidR="0069333E" w:rsidRPr="004B0F47" w:rsidRDefault="00AF0CAE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4B0F47">
        <w:rPr>
          <w:rFonts w:ascii="Rockwell" w:hAnsi="Rockwell"/>
          <w:sz w:val="24"/>
          <w:szCs w:val="24"/>
        </w:rPr>
        <w:t xml:space="preserve">Paper, Paper Board and Products Panel (From USD </w:t>
      </w:r>
      <w:r w:rsidR="00F74EB1" w:rsidRPr="00F74EB1">
        <w:rPr>
          <w:rFonts w:ascii="Rockwell" w:hAnsi="Rockwell"/>
          <w:sz w:val="24"/>
          <w:szCs w:val="24"/>
        </w:rPr>
        <w:t>2921.51</w:t>
      </w:r>
      <w:r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2022</w:t>
      </w:r>
      <w:r w:rsidRPr="004B0F47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2779.85</w:t>
      </w:r>
      <w:r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2023</w:t>
      </w:r>
      <w:r w:rsidRPr="004B0F47">
        <w:rPr>
          <w:rFonts w:ascii="Rockwell" w:hAnsi="Rockwell"/>
          <w:sz w:val="24"/>
          <w:szCs w:val="24"/>
        </w:rPr>
        <w:t xml:space="preserve">), </w:t>
      </w:r>
    </w:p>
    <w:p w:rsidR="0069333E" w:rsidRPr="004B0F47" w:rsidRDefault="00AF0CAE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4B0F47">
        <w:rPr>
          <w:rFonts w:ascii="Rockwell" w:hAnsi="Rockwell"/>
          <w:sz w:val="24"/>
          <w:szCs w:val="24"/>
        </w:rPr>
        <w:t xml:space="preserve">Auto Tyres and Tubes Panel (From USD </w:t>
      </w:r>
      <w:r w:rsidR="00F74EB1" w:rsidRPr="00F74EB1">
        <w:rPr>
          <w:rFonts w:ascii="Rockwell" w:hAnsi="Rockwell"/>
          <w:sz w:val="24"/>
          <w:szCs w:val="24"/>
        </w:rPr>
        <w:t>2635.06</w:t>
      </w:r>
      <w:r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2022</w:t>
      </w:r>
      <w:r w:rsidRPr="004B0F47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2722.40</w:t>
      </w:r>
      <w:r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2023</w:t>
      </w:r>
      <w:r w:rsidRPr="004B0F47">
        <w:rPr>
          <w:rFonts w:ascii="Rockwell" w:hAnsi="Rockwell"/>
          <w:sz w:val="24"/>
          <w:szCs w:val="24"/>
        </w:rPr>
        <w:t xml:space="preserve">), </w:t>
      </w:r>
    </w:p>
    <w:p w:rsidR="0069333E" w:rsidRPr="004B0F47" w:rsidRDefault="00AF0CAE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4B0F47">
        <w:rPr>
          <w:rFonts w:ascii="Rockwell" w:hAnsi="Rockwell"/>
          <w:sz w:val="24"/>
          <w:szCs w:val="24"/>
        </w:rPr>
        <w:t xml:space="preserve">Ceramics and Allied Products Panel (From USD </w:t>
      </w:r>
      <w:r w:rsidR="00F74EB1" w:rsidRPr="00F74EB1">
        <w:rPr>
          <w:rFonts w:ascii="Rockwell" w:hAnsi="Rockwell"/>
          <w:sz w:val="24"/>
          <w:szCs w:val="24"/>
        </w:rPr>
        <w:t>2233.46</w:t>
      </w:r>
      <w:r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2022</w:t>
      </w:r>
      <w:r w:rsidRPr="004B0F47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2497.93</w:t>
      </w:r>
      <w:r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2023</w:t>
      </w:r>
      <w:r w:rsidRPr="004B0F47">
        <w:rPr>
          <w:rFonts w:ascii="Rockwell" w:hAnsi="Rockwell"/>
          <w:sz w:val="24"/>
          <w:szCs w:val="24"/>
        </w:rPr>
        <w:t xml:space="preserve">), </w:t>
      </w:r>
    </w:p>
    <w:p w:rsidR="0069333E" w:rsidRPr="004B0F47" w:rsidRDefault="00D93CD0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4B0F47">
        <w:rPr>
          <w:rFonts w:ascii="Rockwell" w:hAnsi="Rockwell"/>
          <w:sz w:val="24"/>
          <w:szCs w:val="24"/>
        </w:rPr>
        <w:lastRenderedPageBreak/>
        <w:t xml:space="preserve">Natural Stones and Products Panel (From USD </w:t>
      </w:r>
      <w:r w:rsidR="00F74EB1" w:rsidRPr="00F74EB1">
        <w:rPr>
          <w:rFonts w:ascii="Rockwell" w:hAnsi="Rockwell"/>
          <w:sz w:val="24"/>
          <w:szCs w:val="24"/>
        </w:rPr>
        <w:t>2153.88</w:t>
      </w:r>
      <w:r w:rsidR="00893B87">
        <w:rPr>
          <w:rFonts w:ascii="Rockwell" w:hAnsi="Rockwell"/>
          <w:sz w:val="24"/>
          <w:szCs w:val="24"/>
        </w:rPr>
        <w:t xml:space="preserve"> </w:t>
      </w:r>
      <w:r w:rsidRPr="004B0F47">
        <w:rPr>
          <w:rFonts w:ascii="Rockwell" w:hAnsi="Rockwell"/>
          <w:sz w:val="24"/>
          <w:szCs w:val="24"/>
        </w:rPr>
        <w:t xml:space="preserve">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2022</w:t>
      </w:r>
      <w:r w:rsidRPr="004B0F47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1885.65</w:t>
      </w:r>
      <w:r w:rsidRPr="004B0F47">
        <w:rPr>
          <w:rFonts w:ascii="Rockwell" w:hAnsi="Rockwell"/>
          <w:sz w:val="24"/>
          <w:szCs w:val="24"/>
        </w:rPr>
        <w:t xml:space="preserve"> Mn in </w:t>
      </w:r>
      <w:r w:rsidR="00030829">
        <w:rPr>
          <w:rFonts w:ascii="Rockwell" w:hAnsi="Rockwell"/>
          <w:sz w:val="24"/>
          <w:szCs w:val="24"/>
        </w:rPr>
        <w:t>APR</w:t>
      </w:r>
      <w:r w:rsidR="004B0F47" w:rsidRPr="004B0F47">
        <w:rPr>
          <w:rFonts w:ascii="Rockwell" w:hAnsi="Rockwell"/>
          <w:sz w:val="24"/>
          <w:szCs w:val="24"/>
        </w:rPr>
        <w:t>IL-</w:t>
      </w:r>
      <w:r w:rsidR="009C6957">
        <w:rPr>
          <w:rFonts w:ascii="Rockwell" w:hAnsi="Rockwell"/>
          <w:sz w:val="24"/>
          <w:szCs w:val="24"/>
        </w:rPr>
        <w:t>FEBRUARY</w:t>
      </w:r>
      <w:r w:rsidRPr="004B0F47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2023</w:t>
      </w:r>
      <w:r w:rsidRPr="004B0F47">
        <w:rPr>
          <w:rFonts w:ascii="Rockwell" w:hAnsi="Rockwell"/>
          <w:sz w:val="24"/>
          <w:szCs w:val="24"/>
        </w:rPr>
        <w:t>)</w:t>
      </w:r>
      <w:r w:rsidR="00AF0CAE" w:rsidRPr="004B0F47">
        <w:rPr>
          <w:rFonts w:ascii="Rockwell" w:hAnsi="Rockwell"/>
          <w:sz w:val="24"/>
          <w:szCs w:val="24"/>
        </w:rPr>
        <w:t xml:space="preserve">, </w:t>
      </w:r>
    </w:p>
    <w:p w:rsidR="0069333E" w:rsidRPr="00F74EB1" w:rsidRDefault="008D3719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Rubber Products Panel (From USD </w:t>
      </w:r>
      <w:r w:rsidR="00F74EB1" w:rsidRPr="00F74EB1">
        <w:rPr>
          <w:rFonts w:ascii="Rockwell" w:hAnsi="Rockwell"/>
          <w:sz w:val="24"/>
          <w:szCs w:val="24"/>
        </w:rPr>
        <w:t>1650.19</w:t>
      </w:r>
      <w:r w:rsidR="00893B87" w:rsidRPr="00F74EB1">
        <w:rPr>
          <w:rFonts w:ascii="Rockwell" w:hAnsi="Rockwell"/>
          <w:sz w:val="24"/>
          <w:szCs w:val="24"/>
        </w:rPr>
        <w:t xml:space="preserve"> </w:t>
      </w:r>
      <w:r w:rsidRPr="00F74EB1">
        <w:rPr>
          <w:rFonts w:ascii="Rockwell" w:hAnsi="Rockwell"/>
          <w:sz w:val="24"/>
          <w:szCs w:val="24"/>
        </w:rPr>
        <w:t xml:space="preserve">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1793.43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 xml:space="preserve">), </w:t>
      </w:r>
    </w:p>
    <w:p w:rsidR="00F74EB1" w:rsidRPr="00F74EB1" w:rsidRDefault="00F74EB1" w:rsidP="00F74EB1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Processed Minerals Panel (From USD 1213.74 Mn in APRIL-FEBRUARY 2022 to USD 1525.78 Mn in APRIL-FEBRUARY 2023), </w:t>
      </w:r>
    </w:p>
    <w:p w:rsidR="0069333E" w:rsidRPr="00F74EB1" w:rsidRDefault="008D3719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Paints, Printing Ink and Allied Products Panel (From USD </w:t>
      </w:r>
      <w:r w:rsidR="00F74EB1" w:rsidRPr="00F74EB1">
        <w:rPr>
          <w:rFonts w:ascii="Rockwell" w:hAnsi="Rockwell"/>
          <w:sz w:val="24"/>
          <w:szCs w:val="24"/>
        </w:rPr>
        <w:t>1559.04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1488.94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 xml:space="preserve">), </w:t>
      </w:r>
    </w:p>
    <w:p w:rsidR="00893B87" w:rsidRPr="00F74EB1" w:rsidRDefault="00893B87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Plywood and Allied Products Panel (From USD </w:t>
      </w:r>
      <w:r w:rsidR="00F74EB1" w:rsidRPr="00F74EB1">
        <w:rPr>
          <w:rFonts w:ascii="Rockwell" w:hAnsi="Rockwell"/>
          <w:sz w:val="24"/>
          <w:szCs w:val="24"/>
        </w:rPr>
        <w:t>1204.66</w:t>
      </w:r>
      <w:r w:rsidRPr="00F74EB1">
        <w:rPr>
          <w:rFonts w:ascii="Rockwell" w:hAnsi="Rockwell"/>
          <w:sz w:val="24"/>
          <w:szCs w:val="24"/>
        </w:rPr>
        <w:t xml:space="preserve"> Mn in APRIL-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1050.11</w:t>
      </w:r>
      <w:r w:rsidRPr="00F74EB1">
        <w:rPr>
          <w:rFonts w:ascii="Rockwell" w:hAnsi="Rockwell"/>
          <w:sz w:val="24"/>
          <w:szCs w:val="24"/>
        </w:rPr>
        <w:t xml:space="preserve"> Mn in APRIL-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>),</w:t>
      </w:r>
    </w:p>
    <w:p w:rsidR="0069333E" w:rsidRPr="00F74EB1" w:rsidRDefault="0069333E" w:rsidP="00893B8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Glass and Glassware Panel (From USD </w:t>
      </w:r>
      <w:r w:rsidR="00F74EB1" w:rsidRPr="00F74EB1">
        <w:rPr>
          <w:rFonts w:ascii="Rockwell" w:hAnsi="Rockwell"/>
          <w:sz w:val="24"/>
          <w:szCs w:val="24"/>
        </w:rPr>
        <w:t>843.12</w:t>
      </w:r>
      <w:r w:rsidR="00414600" w:rsidRPr="00F74EB1">
        <w:rPr>
          <w:rFonts w:ascii="Rockwell" w:hAnsi="Rockwell"/>
          <w:sz w:val="24"/>
          <w:szCs w:val="24"/>
        </w:rPr>
        <w:t xml:space="preserve"> </w:t>
      </w:r>
      <w:r w:rsidRPr="00F74EB1">
        <w:rPr>
          <w:rFonts w:ascii="Rockwell" w:hAnsi="Rockwell"/>
          <w:sz w:val="24"/>
          <w:szCs w:val="24"/>
        </w:rPr>
        <w:t xml:space="preserve">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1014.44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 xml:space="preserve">), </w:t>
      </w:r>
    </w:p>
    <w:p w:rsidR="0069333E" w:rsidRPr="00F74EB1" w:rsidRDefault="00D93CD0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Miscellaneous Products Panel (From USD </w:t>
      </w:r>
      <w:r w:rsidR="00F74EB1" w:rsidRPr="00F74EB1">
        <w:rPr>
          <w:rFonts w:ascii="Rockwell" w:hAnsi="Rockwell"/>
          <w:sz w:val="24"/>
          <w:szCs w:val="24"/>
        </w:rPr>
        <w:t>626.34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774.59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 xml:space="preserve">), </w:t>
      </w:r>
    </w:p>
    <w:p w:rsidR="00F74EB1" w:rsidRPr="00F74EB1" w:rsidRDefault="00F74EB1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>Graphite, Explosives and Accessories Panel (From USD 395.18 Mn in APRIL-FEBRUARY 2022 to USD 592.56 Mn in APRIL-FEBRUARY 2023),</w:t>
      </w:r>
    </w:p>
    <w:p w:rsidR="0069333E" w:rsidRPr="00F74EB1" w:rsidRDefault="00D93CD0" w:rsidP="00F74EB1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Cement, Clinkers and Asbestos Cement Products Panel (From USD </w:t>
      </w:r>
      <w:r w:rsidR="00F74EB1" w:rsidRPr="00F74EB1">
        <w:rPr>
          <w:rFonts w:ascii="Rockwell" w:hAnsi="Rockwell"/>
          <w:sz w:val="24"/>
          <w:szCs w:val="24"/>
        </w:rPr>
        <w:t>614.14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558.92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 xml:space="preserve">), </w:t>
      </w:r>
    </w:p>
    <w:p w:rsidR="0069333E" w:rsidRPr="00F74EB1" w:rsidRDefault="00D93CD0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Animal By Products Panel (From USD </w:t>
      </w:r>
      <w:r w:rsidR="00F74EB1" w:rsidRPr="00F74EB1">
        <w:rPr>
          <w:rFonts w:ascii="Rockwell" w:hAnsi="Rockwell"/>
          <w:sz w:val="24"/>
          <w:szCs w:val="24"/>
        </w:rPr>
        <w:t>374.43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362.29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 xml:space="preserve">), </w:t>
      </w:r>
    </w:p>
    <w:p w:rsidR="0069333E" w:rsidRPr="00F74EB1" w:rsidRDefault="00D93CD0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Books, Publications and Printing Panel (From USD </w:t>
      </w:r>
      <w:r w:rsidR="00F74EB1" w:rsidRPr="00F74EB1">
        <w:rPr>
          <w:rFonts w:ascii="Rockwell" w:hAnsi="Rockwell"/>
          <w:sz w:val="24"/>
          <w:szCs w:val="24"/>
        </w:rPr>
        <w:t>313.98</w:t>
      </w:r>
      <w:r w:rsidR="00D02C91" w:rsidRPr="00F74EB1">
        <w:rPr>
          <w:rFonts w:ascii="Rockwell" w:hAnsi="Rockwell"/>
          <w:sz w:val="24"/>
          <w:szCs w:val="24"/>
        </w:rPr>
        <w:t xml:space="preserve"> </w:t>
      </w:r>
      <w:r w:rsidRPr="00F74EB1">
        <w:rPr>
          <w:rFonts w:ascii="Rockwell" w:hAnsi="Rockwell"/>
          <w:sz w:val="24"/>
          <w:szCs w:val="24"/>
        </w:rPr>
        <w:t xml:space="preserve">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339.70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 xml:space="preserve">) &amp; </w:t>
      </w:r>
    </w:p>
    <w:p w:rsidR="00D93CD0" w:rsidRPr="00F74EB1" w:rsidRDefault="00D93CD0" w:rsidP="004B0F47">
      <w:pPr>
        <w:pStyle w:val="ListParagraph"/>
        <w:numPr>
          <w:ilvl w:val="0"/>
          <w:numId w:val="20"/>
        </w:numPr>
        <w:spacing w:after="0"/>
        <w:jc w:val="both"/>
        <w:rPr>
          <w:rFonts w:ascii="Rockwell" w:hAnsi="Rockwell"/>
          <w:sz w:val="24"/>
          <w:szCs w:val="24"/>
        </w:rPr>
      </w:pPr>
      <w:r w:rsidRPr="00F74EB1">
        <w:rPr>
          <w:rFonts w:ascii="Rockwell" w:hAnsi="Rockwell"/>
          <w:sz w:val="24"/>
          <w:szCs w:val="24"/>
        </w:rPr>
        <w:t xml:space="preserve">Ossein and Gelatine Panel (From USD </w:t>
      </w:r>
      <w:r w:rsidR="00F74EB1" w:rsidRPr="00F74EB1">
        <w:rPr>
          <w:rFonts w:ascii="Rockwell" w:hAnsi="Rockwell"/>
          <w:sz w:val="24"/>
          <w:szCs w:val="24"/>
        </w:rPr>
        <w:t>60.29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2022</w:t>
      </w:r>
      <w:r w:rsidRPr="00F74EB1">
        <w:rPr>
          <w:rFonts w:ascii="Rockwell" w:hAnsi="Rockwell"/>
          <w:sz w:val="24"/>
          <w:szCs w:val="24"/>
        </w:rPr>
        <w:t xml:space="preserve"> to USD </w:t>
      </w:r>
      <w:r w:rsidR="00F74EB1" w:rsidRPr="00F74EB1">
        <w:rPr>
          <w:rFonts w:ascii="Rockwell" w:hAnsi="Rockwell"/>
          <w:sz w:val="24"/>
          <w:szCs w:val="24"/>
        </w:rPr>
        <w:t>71.33</w:t>
      </w:r>
      <w:r w:rsidRPr="00F74EB1">
        <w:rPr>
          <w:rFonts w:ascii="Rockwell" w:hAnsi="Rockwell"/>
          <w:sz w:val="24"/>
          <w:szCs w:val="24"/>
        </w:rPr>
        <w:t xml:space="preserve"> Mn in </w:t>
      </w:r>
      <w:r w:rsidR="00030829" w:rsidRPr="00F74EB1">
        <w:rPr>
          <w:rFonts w:ascii="Rockwell" w:hAnsi="Rockwell"/>
          <w:sz w:val="24"/>
          <w:szCs w:val="24"/>
        </w:rPr>
        <w:t>APR</w:t>
      </w:r>
      <w:r w:rsidR="004B0F47" w:rsidRPr="00F74EB1">
        <w:rPr>
          <w:rFonts w:ascii="Rockwell" w:hAnsi="Rockwell"/>
          <w:sz w:val="24"/>
          <w:szCs w:val="24"/>
        </w:rPr>
        <w:t>IL-</w:t>
      </w:r>
      <w:r w:rsidR="009C6957" w:rsidRPr="00F74EB1">
        <w:rPr>
          <w:rFonts w:ascii="Rockwell" w:hAnsi="Rockwell"/>
          <w:sz w:val="24"/>
          <w:szCs w:val="24"/>
        </w:rPr>
        <w:t>FEBRUARY</w:t>
      </w:r>
      <w:r w:rsidRPr="00F74EB1">
        <w:rPr>
          <w:rFonts w:ascii="Rockwell" w:hAnsi="Rockwell"/>
          <w:sz w:val="24"/>
          <w:szCs w:val="24"/>
        </w:rPr>
        <w:t xml:space="preserve"> </w:t>
      </w:r>
      <w:r w:rsidR="00583363" w:rsidRPr="00F74EB1">
        <w:rPr>
          <w:rFonts w:ascii="Rockwell" w:hAnsi="Rockwell"/>
          <w:sz w:val="24"/>
          <w:szCs w:val="24"/>
        </w:rPr>
        <w:t>2023</w:t>
      </w:r>
      <w:r w:rsidRPr="00F74EB1">
        <w:rPr>
          <w:rFonts w:ascii="Rockwell" w:hAnsi="Rockwell"/>
          <w:sz w:val="24"/>
          <w:szCs w:val="24"/>
        </w:rPr>
        <w:t>).</w:t>
      </w:r>
    </w:p>
    <w:p w:rsidR="00D93CD0" w:rsidRPr="00280AAD" w:rsidRDefault="00D93CD0" w:rsidP="00280AAD">
      <w:pPr>
        <w:spacing w:after="0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817"/>
        <w:gridCol w:w="817"/>
        <w:gridCol w:w="1019"/>
        <w:gridCol w:w="972"/>
        <w:gridCol w:w="953"/>
        <w:gridCol w:w="1019"/>
      </w:tblGrid>
      <w:tr w:rsidR="00D75D02" w:rsidRPr="00EC70CF" w:rsidTr="003F12E8">
        <w:trPr>
          <w:trHeight w:val="270"/>
          <w:jc w:val="center"/>
        </w:trPr>
        <w:tc>
          <w:tcPr>
            <w:tcW w:w="10012" w:type="dxa"/>
            <w:gridSpan w:val="7"/>
            <w:shd w:val="clear" w:color="auto" w:fill="548DD4" w:themeFill="text2" w:themeFillTint="99"/>
            <w:noWrap/>
            <w:vAlign w:val="bottom"/>
          </w:tcPr>
          <w:p w:rsidR="00FE0DB8" w:rsidRDefault="00D93CD0" w:rsidP="009A607A">
            <w:pPr>
              <w:spacing w:after="0"/>
              <w:ind w:left="36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PANEL WISE, % GROWTH WISE </w:t>
            </w:r>
            <w:r w:rsidR="00D75D02"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EXPORTS OF </w:t>
            </w:r>
            <w:r w:rsidR="00D75D02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CAPEXIL</w:t>
            </w:r>
            <w:r w:rsidR="00D75D02"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</w:p>
          <w:p w:rsidR="00D75D02" w:rsidRPr="00EC70CF" w:rsidRDefault="00D75D02" w:rsidP="009A607A">
            <w:pPr>
              <w:spacing w:after="0"/>
              <w:ind w:left="36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DURING </w:t>
            </w:r>
            <w:r w:rsidR="00030829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APR</w:t>
            </w:r>
            <w:r w:rsidR="00744EAD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IL</w:t>
            </w: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FEBRUARY</w:t>
            </w: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2023</w:t>
            </w: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-23</w:t>
            </w:r>
          </w:p>
        </w:tc>
      </w:tr>
      <w:tr w:rsidR="00D75D02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548DD4" w:themeFill="text2" w:themeFillTint="99"/>
            <w:noWrap/>
            <w:vAlign w:val="center"/>
            <w:hideMark/>
          </w:tcPr>
          <w:p w:rsidR="00D75D02" w:rsidRPr="00EC70CF" w:rsidRDefault="00D75D02" w:rsidP="009A607A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Name of the Panels</w:t>
            </w:r>
          </w:p>
        </w:tc>
        <w:tc>
          <w:tcPr>
            <w:tcW w:w="817" w:type="dxa"/>
            <w:shd w:val="clear" w:color="auto" w:fill="548DD4" w:themeFill="text2" w:themeFillTint="99"/>
            <w:noWrap/>
            <w:vAlign w:val="center"/>
            <w:hideMark/>
          </w:tcPr>
          <w:p w:rsidR="00D75D02" w:rsidRPr="00EC70CF" w:rsidRDefault="009C6957" w:rsidP="00744EAD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F1343E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2022</w:t>
            </w:r>
          </w:p>
        </w:tc>
        <w:tc>
          <w:tcPr>
            <w:tcW w:w="817" w:type="dxa"/>
            <w:shd w:val="clear" w:color="auto" w:fill="548DD4" w:themeFill="text2" w:themeFillTint="99"/>
            <w:noWrap/>
            <w:vAlign w:val="center"/>
            <w:hideMark/>
          </w:tcPr>
          <w:p w:rsidR="00D75D02" w:rsidRPr="00EC70CF" w:rsidRDefault="009C6957" w:rsidP="00744EAD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F1343E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2023</w:t>
            </w:r>
          </w:p>
        </w:tc>
        <w:tc>
          <w:tcPr>
            <w:tcW w:w="1019" w:type="dxa"/>
            <w:shd w:val="clear" w:color="auto" w:fill="548DD4" w:themeFill="text2" w:themeFillTint="99"/>
            <w:vAlign w:val="center"/>
          </w:tcPr>
          <w:p w:rsidR="00D75D02" w:rsidRPr="00EC70CF" w:rsidRDefault="00D75D02" w:rsidP="009A607A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% Growth</w:t>
            </w:r>
          </w:p>
        </w:tc>
        <w:tc>
          <w:tcPr>
            <w:tcW w:w="972" w:type="dxa"/>
            <w:shd w:val="clear" w:color="auto" w:fill="548DD4" w:themeFill="text2" w:themeFillTint="99"/>
            <w:vAlign w:val="center"/>
          </w:tcPr>
          <w:p w:rsidR="00D75D02" w:rsidRPr="00EC70CF" w:rsidRDefault="00030829" w:rsidP="00FC12EB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APR</w:t>
            </w:r>
            <w:r w:rsidR="00D75D02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F1343E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2022</w:t>
            </w:r>
          </w:p>
        </w:tc>
        <w:tc>
          <w:tcPr>
            <w:tcW w:w="953" w:type="dxa"/>
            <w:shd w:val="clear" w:color="auto" w:fill="548DD4" w:themeFill="text2" w:themeFillTint="99"/>
            <w:vAlign w:val="center"/>
          </w:tcPr>
          <w:p w:rsidR="00D75D02" w:rsidRPr="00EC70CF" w:rsidRDefault="00030829" w:rsidP="00FC12EB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APR</w:t>
            </w:r>
            <w:r w:rsidR="00D75D02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-</w:t>
            </w:r>
            <w:r w:rsidR="009C6957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FEB</w:t>
            </w:r>
            <w:r w:rsidR="00F1343E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583363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2023</w:t>
            </w:r>
          </w:p>
        </w:tc>
        <w:tc>
          <w:tcPr>
            <w:tcW w:w="1019" w:type="dxa"/>
            <w:shd w:val="clear" w:color="auto" w:fill="548DD4" w:themeFill="text2" w:themeFillTint="99"/>
            <w:vAlign w:val="center"/>
          </w:tcPr>
          <w:p w:rsidR="00D75D02" w:rsidRPr="00EC70CF" w:rsidRDefault="00D75D02" w:rsidP="009A607A">
            <w:pPr>
              <w:pStyle w:val="ListParagraph"/>
              <w:spacing w:after="0" w:line="240" w:lineRule="auto"/>
              <w:ind w:left="0"/>
              <w:jc w:val="center"/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</w:pPr>
            <w:r w:rsidRPr="00EC70CF">
              <w:rPr>
                <w:rFonts w:ascii="Rockwell" w:hAnsi="Rockwell" w:cs="Times New Roman"/>
                <w:b/>
                <w:color w:val="000000" w:themeColor="text1"/>
                <w:szCs w:val="24"/>
                <w:lang w:val="en-US"/>
              </w:rPr>
              <w:t>% Growth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 xml:space="preserve">Graphite, Explosives and Accessories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39.80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72.83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83.01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395.18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592.56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49.95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 xml:space="preserve">Processed Minerals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101.94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177.65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74.27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1213.74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1525.78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25.71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 xml:space="preserve">Miscellaneous Products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63.58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77.37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21.69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626.34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774.59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23.67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>Glass and Glassware Panel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74.98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81.08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8.14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843.12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1014.44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20.32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 xml:space="preserve">Ossein and Gelatine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5.96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6.98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17.13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60.29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71.33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18.30</w:t>
            </w:r>
          </w:p>
        </w:tc>
      </w:tr>
      <w:tr w:rsidR="003F12E8" w:rsidRPr="00EC70CF" w:rsidTr="003F12E8">
        <w:trPr>
          <w:trHeight w:val="223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 xml:space="preserve">Ceramics and Allied Products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197.30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251.04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27.24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2233.46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2497.93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11.84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 xml:space="preserve">Rubber Products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160.11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157.42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-1.68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1650.19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1793.43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8.68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szCs w:val="24"/>
                <w:lang w:val="en-US"/>
              </w:rPr>
              <w:t>Books, Publications and Printing Panel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33.47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31.23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-6.70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313.98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339.70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8.19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3F12E8" w:rsidRPr="00CB3283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CB3283">
              <w:rPr>
                <w:rFonts w:ascii="Rockwell" w:hAnsi="Rockwell" w:cs="Times New Roman"/>
                <w:szCs w:val="24"/>
                <w:lang w:val="en-US"/>
              </w:rPr>
              <w:t>Auto Tyres and Tubes Panel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242.87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220.34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-9.28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2635.06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2722.40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3.31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CB3283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CB3283">
              <w:rPr>
                <w:rFonts w:ascii="Rockwell" w:hAnsi="Rockwell" w:cs="Times New Roman"/>
                <w:szCs w:val="24"/>
                <w:lang w:val="en-US"/>
              </w:rPr>
              <w:t xml:space="preserve">Animal By Products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37.22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31.31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-15.89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374.43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362.29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-3.24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3F12E8" w:rsidRPr="00CB3283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CB3283">
              <w:rPr>
                <w:rFonts w:ascii="Rockwell" w:hAnsi="Rockwell" w:cs="Times New Roman"/>
                <w:szCs w:val="24"/>
                <w:lang w:val="en-US"/>
              </w:rPr>
              <w:t xml:space="preserve">Paints, Printing Ink and Allied Products Panel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150.50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130.99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-12.96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1559.04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1488.94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-4.50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CB3283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CB3283">
              <w:rPr>
                <w:rFonts w:ascii="Rockwell" w:hAnsi="Rockwell" w:cs="Times New Roman"/>
                <w:szCs w:val="24"/>
                <w:lang w:val="en-US"/>
              </w:rPr>
              <w:t>Paper, Paper Board and Products Panel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277.50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206.39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-25.63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2921.51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2779.85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-4.85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CB3283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CB3283">
              <w:rPr>
                <w:rFonts w:ascii="Rockwell" w:hAnsi="Rockwell" w:cs="Times New Roman"/>
                <w:szCs w:val="24"/>
                <w:lang w:val="en-US"/>
              </w:rPr>
              <w:t>Cement, Clinkers and Asbestos Cement Products Panel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60.99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43.66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-28.42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614.14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558.92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-8.99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CB3283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Natural Stones and Products Panel</w:t>
            </w:r>
            <w:r w:rsidRPr="00CB3283">
              <w:rPr>
                <w:rFonts w:ascii="Rockwell" w:hAnsi="Rockwell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197.60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176.55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-10.65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2153.88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1885.65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-12.45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280AAD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CB3283">
              <w:rPr>
                <w:rFonts w:ascii="Rockwell" w:hAnsi="Rockwell" w:cs="Times New Roman"/>
                <w:szCs w:val="24"/>
                <w:lang w:val="en-US"/>
              </w:rPr>
              <w:t>Plywood and Allied Products Panel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110.00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95.62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-13.07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1204.66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1050.11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-12.83</w:t>
            </w:r>
          </w:p>
        </w:tc>
      </w:tr>
      <w:tr w:rsidR="003F12E8" w:rsidRPr="00EC70CF" w:rsidTr="003F12E8">
        <w:trPr>
          <w:trHeight w:val="270"/>
          <w:jc w:val="center"/>
        </w:trPr>
        <w:tc>
          <w:tcPr>
            <w:tcW w:w="4415" w:type="dxa"/>
            <w:shd w:val="clear" w:color="auto" w:fill="auto"/>
            <w:noWrap/>
            <w:vAlign w:val="bottom"/>
          </w:tcPr>
          <w:p w:rsidR="003F12E8" w:rsidRPr="00280AAD" w:rsidRDefault="003F12E8" w:rsidP="003F12E8">
            <w:pPr>
              <w:pStyle w:val="ListParagraph"/>
              <w:spacing w:after="0" w:line="240" w:lineRule="auto"/>
              <w:ind w:left="0"/>
              <w:jc w:val="both"/>
              <w:rPr>
                <w:rFonts w:ascii="Rockwell" w:hAnsi="Rockwell" w:cs="Times New Roman"/>
                <w:szCs w:val="24"/>
                <w:lang w:val="en-US"/>
              </w:rPr>
            </w:pPr>
            <w:r w:rsidRPr="00280AAD">
              <w:rPr>
                <w:rFonts w:ascii="Rockwell" w:hAnsi="Rockwell" w:cs="Times New Roman"/>
                <w:szCs w:val="24"/>
                <w:lang w:val="en-US"/>
              </w:rPr>
              <w:t>Bulk Minerals and Ores Panel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841.81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749.77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-10.93</w:t>
            </w:r>
          </w:p>
        </w:tc>
        <w:tc>
          <w:tcPr>
            <w:tcW w:w="972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8697.86</w:t>
            </w:r>
          </w:p>
        </w:tc>
        <w:tc>
          <w:tcPr>
            <w:tcW w:w="953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6580.72</w:t>
            </w:r>
          </w:p>
        </w:tc>
        <w:tc>
          <w:tcPr>
            <w:tcW w:w="1019" w:type="dxa"/>
            <w:vAlign w:val="bottom"/>
          </w:tcPr>
          <w:p w:rsidR="003F12E8" w:rsidRPr="003F12E8" w:rsidRDefault="003F12E8" w:rsidP="003F12E8">
            <w:pPr>
              <w:pStyle w:val="ListParagraph"/>
              <w:spacing w:after="0" w:line="240" w:lineRule="auto"/>
              <w:ind w:left="0"/>
              <w:jc w:val="right"/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</w:pPr>
            <w:r w:rsidRPr="003F12E8">
              <w:rPr>
                <w:rFonts w:ascii="Rockwell" w:hAnsi="Rockwell" w:cs="Times New Roman"/>
                <w:color w:val="000000" w:themeColor="text1"/>
                <w:sz w:val="20"/>
                <w:szCs w:val="24"/>
                <w:lang w:val="en-US"/>
              </w:rPr>
              <w:t>-24.34</w:t>
            </w:r>
          </w:p>
        </w:tc>
      </w:tr>
    </w:tbl>
    <w:p w:rsidR="00D75D02" w:rsidRPr="00D26DB6" w:rsidRDefault="00D75D02" w:rsidP="00D75D02">
      <w:pPr>
        <w:pStyle w:val="ListParagraph"/>
        <w:spacing w:after="0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Million (Data Source: MOC)</w:t>
      </w:r>
    </w:p>
    <w:p w:rsidR="003263DF" w:rsidRPr="0098682B" w:rsidRDefault="000749E0" w:rsidP="0044036E">
      <w:pPr>
        <w:autoSpaceDE w:val="0"/>
        <w:autoSpaceDN w:val="0"/>
        <w:adjustRightInd w:val="0"/>
        <w:spacing w:after="0"/>
        <w:jc w:val="both"/>
        <w:rPr>
          <w:rFonts w:ascii="Rockwell" w:hAnsi="Rockwell"/>
          <w:sz w:val="24"/>
          <w:szCs w:val="24"/>
        </w:rPr>
      </w:pPr>
      <w:r w:rsidRPr="0098682B">
        <w:rPr>
          <w:rFonts w:ascii="Rockwell" w:hAnsi="Rockwell"/>
          <w:sz w:val="24"/>
          <w:szCs w:val="24"/>
        </w:rPr>
        <w:lastRenderedPageBreak/>
        <w:t xml:space="preserve">Except </w:t>
      </w:r>
      <w:r w:rsidR="000E7000" w:rsidRPr="0098682B">
        <w:rPr>
          <w:rFonts w:ascii="Rockwell" w:hAnsi="Rockwell"/>
          <w:sz w:val="24"/>
          <w:szCs w:val="24"/>
        </w:rPr>
        <w:t xml:space="preserve">Bulk Minerals and Ores Panel </w:t>
      </w:r>
      <w:r w:rsidR="00280AAD" w:rsidRPr="0098682B">
        <w:rPr>
          <w:rFonts w:ascii="Rockwell" w:hAnsi="Rockwell"/>
          <w:sz w:val="24"/>
          <w:szCs w:val="24"/>
        </w:rPr>
        <w:t>(-</w:t>
      </w:r>
      <w:r w:rsidR="005E2512">
        <w:rPr>
          <w:rFonts w:ascii="Rockwell" w:hAnsi="Rockwell"/>
          <w:sz w:val="24"/>
          <w:szCs w:val="24"/>
        </w:rPr>
        <w:t>24.34</w:t>
      </w:r>
      <w:r w:rsidR="009B1B5A">
        <w:rPr>
          <w:rFonts w:ascii="Rockwell" w:hAnsi="Rockwell"/>
          <w:sz w:val="24"/>
          <w:szCs w:val="24"/>
        </w:rPr>
        <w:t xml:space="preserve">%), </w:t>
      </w:r>
      <w:r w:rsidR="003263DF" w:rsidRPr="0098682B">
        <w:rPr>
          <w:rFonts w:ascii="Rockwell" w:hAnsi="Rockwell"/>
          <w:sz w:val="24"/>
          <w:szCs w:val="24"/>
        </w:rPr>
        <w:t>Plywood and Allied Products Panel (-</w:t>
      </w:r>
      <w:r w:rsidR="005E2512">
        <w:rPr>
          <w:rFonts w:ascii="Rockwell" w:hAnsi="Rockwell"/>
          <w:sz w:val="24"/>
          <w:szCs w:val="24"/>
        </w:rPr>
        <w:t>12.83</w:t>
      </w:r>
      <w:r w:rsidR="003263DF" w:rsidRPr="0098682B">
        <w:rPr>
          <w:rFonts w:ascii="Rockwell" w:hAnsi="Rockwell"/>
          <w:sz w:val="24"/>
          <w:szCs w:val="24"/>
        </w:rPr>
        <w:t>%)</w:t>
      </w:r>
      <w:r w:rsidR="003263DF">
        <w:rPr>
          <w:rFonts w:ascii="Rockwell" w:hAnsi="Rockwell"/>
          <w:sz w:val="24"/>
          <w:szCs w:val="24"/>
        </w:rPr>
        <w:t xml:space="preserve">, </w:t>
      </w:r>
      <w:r w:rsidR="009B1B5A" w:rsidRPr="0098682B">
        <w:rPr>
          <w:rFonts w:ascii="Rockwell" w:hAnsi="Rockwell"/>
          <w:sz w:val="24"/>
          <w:szCs w:val="24"/>
        </w:rPr>
        <w:t>Natural Stones and Products Panel (-</w:t>
      </w:r>
      <w:r w:rsidR="003263DF" w:rsidRPr="003263DF">
        <w:rPr>
          <w:rFonts w:ascii="Rockwell" w:hAnsi="Rockwell"/>
          <w:sz w:val="24"/>
          <w:szCs w:val="24"/>
        </w:rPr>
        <w:t>12.</w:t>
      </w:r>
      <w:r w:rsidR="005E2512">
        <w:rPr>
          <w:rFonts w:ascii="Rockwell" w:hAnsi="Rockwell"/>
          <w:sz w:val="24"/>
          <w:szCs w:val="24"/>
        </w:rPr>
        <w:t>45</w:t>
      </w:r>
      <w:r w:rsidR="009B1B5A" w:rsidRPr="0098682B">
        <w:rPr>
          <w:rFonts w:ascii="Rockwell" w:hAnsi="Rockwell"/>
          <w:sz w:val="24"/>
          <w:szCs w:val="24"/>
        </w:rPr>
        <w:t>%)</w:t>
      </w:r>
      <w:r w:rsidR="009B1B5A">
        <w:rPr>
          <w:rFonts w:ascii="Rockwell" w:hAnsi="Rockwell"/>
          <w:sz w:val="24"/>
          <w:szCs w:val="24"/>
        </w:rPr>
        <w:t xml:space="preserve">, </w:t>
      </w:r>
      <w:r w:rsidR="009B1B5A" w:rsidRPr="009B1B5A">
        <w:rPr>
          <w:rFonts w:ascii="Rockwell" w:hAnsi="Rockwell"/>
          <w:sz w:val="24"/>
          <w:szCs w:val="24"/>
        </w:rPr>
        <w:t>Cement, Clinkers and Asbestos Cement Products Panel</w:t>
      </w:r>
      <w:r w:rsidR="009B1B5A" w:rsidRPr="0098682B">
        <w:rPr>
          <w:rFonts w:ascii="Rockwell" w:hAnsi="Rockwell"/>
          <w:sz w:val="24"/>
          <w:szCs w:val="24"/>
        </w:rPr>
        <w:t xml:space="preserve"> </w:t>
      </w:r>
      <w:r w:rsidR="009B1B5A">
        <w:rPr>
          <w:rFonts w:ascii="Rockwell" w:hAnsi="Rockwell"/>
          <w:sz w:val="24"/>
          <w:szCs w:val="24"/>
        </w:rPr>
        <w:t>(</w:t>
      </w:r>
      <w:r w:rsidR="009B1B5A" w:rsidRPr="009B1B5A">
        <w:rPr>
          <w:rFonts w:ascii="Rockwell" w:hAnsi="Rockwell"/>
          <w:sz w:val="24"/>
          <w:szCs w:val="24"/>
        </w:rPr>
        <w:t>-</w:t>
      </w:r>
      <w:r w:rsidR="005E2512">
        <w:rPr>
          <w:rFonts w:ascii="Rockwell" w:hAnsi="Rockwell"/>
          <w:sz w:val="24"/>
          <w:szCs w:val="24"/>
        </w:rPr>
        <w:t>8.99%</w:t>
      </w:r>
      <w:r w:rsidR="009B1B5A">
        <w:rPr>
          <w:rFonts w:ascii="Rockwell" w:hAnsi="Rockwell"/>
          <w:sz w:val="24"/>
          <w:szCs w:val="24"/>
        </w:rPr>
        <w:t xml:space="preserve">), </w:t>
      </w:r>
      <w:r w:rsidR="005E2512" w:rsidRPr="00893CA2">
        <w:rPr>
          <w:rFonts w:ascii="Rockwell" w:hAnsi="Rockwell"/>
          <w:sz w:val="24"/>
          <w:szCs w:val="24"/>
        </w:rPr>
        <w:t>Paper, Paper Board and Products Panel</w:t>
      </w:r>
      <w:r w:rsidR="005E2512" w:rsidRPr="0098682B">
        <w:rPr>
          <w:rFonts w:ascii="Rockwell" w:hAnsi="Rockwell"/>
          <w:sz w:val="24"/>
          <w:szCs w:val="24"/>
        </w:rPr>
        <w:t xml:space="preserve"> </w:t>
      </w:r>
      <w:r w:rsidR="005E2512">
        <w:rPr>
          <w:rFonts w:ascii="Rockwell" w:hAnsi="Rockwell"/>
          <w:sz w:val="24"/>
          <w:szCs w:val="24"/>
        </w:rPr>
        <w:t xml:space="preserve">(-4.85%), </w:t>
      </w:r>
      <w:r w:rsidR="00893CA2" w:rsidRPr="00893CA2">
        <w:rPr>
          <w:rFonts w:ascii="Rockwell" w:hAnsi="Rockwell"/>
          <w:sz w:val="24"/>
          <w:szCs w:val="24"/>
        </w:rPr>
        <w:t>Paints, Printing Ink and Allied Products Panel (-</w:t>
      </w:r>
      <w:r w:rsidR="005E2512">
        <w:rPr>
          <w:rFonts w:ascii="Rockwell" w:hAnsi="Rockwell"/>
          <w:sz w:val="24"/>
          <w:szCs w:val="24"/>
        </w:rPr>
        <w:t>4.50%)</w:t>
      </w:r>
      <w:r w:rsidR="00893CA2" w:rsidRPr="003263DF">
        <w:rPr>
          <w:rFonts w:ascii="Rockwell" w:hAnsi="Rockwell"/>
          <w:sz w:val="24"/>
          <w:szCs w:val="24"/>
        </w:rPr>
        <w:t xml:space="preserve"> </w:t>
      </w:r>
      <w:r w:rsidR="00893CA2">
        <w:rPr>
          <w:rFonts w:ascii="Rockwell" w:hAnsi="Rockwell"/>
          <w:sz w:val="24"/>
          <w:szCs w:val="24"/>
        </w:rPr>
        <w:t xml:space="preserve">and </w:t>
      </w:r>
      <w:r w:rsidR="00893CA2" w:rsidRPr="00893CA2">
        <w:rPr>
          <w:rFonts w:ascii="Rockwell" w:hAnsi="Rockwell"/>
          <w:sz w:val="24"/>
          <w:szCs w:val="24"/>
        </w:rPr>
        <w:t>Animal By Products Panel (-</w:t>
      </w:r>
      <w:r w:rsidR="005E2512">
        <w:rPr>
          <w:rFonts w:ascii="Rockwell" w:hAnsi="Rockwell"/>
          <w:sz w:val="24"/>
          <w:szCs w:val="24"/>
        </w:rPr>
        <w:t>3.24%</w:t>
      </w:r>
      <w:r w:rsidR="00893CA2" w:rsidRPr="00893CA2">
        <w:rPr>
          <w:rFonts w:ascii="Rockwell" w:hAnsi="Rockwell"/>
          <w:sz w:val="24"/>
          <w:szCs w:val="24"/>
        </w:rPr>
        <w:t>)</w:t>
      </w:r>
      <w:r w:rsidR="00893CA2">
        <w:rPr>
          <w:rFonts w:ascii="Rockwell" w:hAnsi="Rockwell"/>
          <w:sz w:val="24"/>
          <w:szCs w:val="24"/>
        </w:rPr>
        <w:t xml:space="preserve"> </w:t>
      </w:r>
      <w:r w:rsidRPr="0098682B">
        <w:rPr>
          <w:rFonts w:ascii="Rockwell" w:hAnsi="Rockwell"/>
          <w:sz w:val="24"/>
          <w:szCs w:val="24"/>
        </w:rPr>
        <w:t>g</w:t>
      </w:r>
      <w:r w:rsidR="00123157" w:rsidRPr="0098682B">
        <w:rPr>
          <w:rFonts w:ascii="Rockwell" w:hAnsi="Rockwell"/>
          <w:sz w:val="24"/>
          <w:szCs w:val="24"/>
        </w:rPr>
        <w:t>rowth in e</w:t>
      </w:r>
      <w:r w:rsidR="005C49BE" w:rsidRPr="0098682B">
        <w:rPr>
          <w:rFonts w:ascii="Rockwell" w:hAnsi="Rockwell"/>
          <w:sz w:val="24"/>
          <w:szCs w:val="24"/>
        </w:rPr>
        <w:t xml:space="preserve">xports of </w:t>
      </w:r>
      <w:r w:rsidR="00E85AC3" w:rsidRPr="0098682B">
        <w:rPr>
          <w:rFonts w:ascii="Rockwell" w:hAnsi="Rockwell"/>
          <w:sz w:val="24"/>
          <w:szCs w:val="24"/>
        </w:rPr>
        <w:t>all</w:t>
      </w:r>
      <w:r w:rsidRPr="0098682B">
        <w:rPr>
          <w:rFonts w:ascii="Rockwell" w:hAnsi="Rockwell"/>
          <w:sz w:val="24"/>
          <w:szCs w:val="24"/>
        </w:rPr>
        <w:t xml:space="preserve"> </w:t>
      </w:r>
      <w:r w:rsidR="003263DF">
        <w:rPr>
          <w:rFonts w:ascii="Rockwell" w:hAnsi="Rockwell"/>
          <w:sz w:val="24"/>
          <w:szCs w:val="24"/>
        </w:rPr>
        <w:t>9</w:t>
      </w:r>
      <w:r w:rsidR="00D23FD3" w:rsidRPr="0098682B">
        <w:rPr>
          <w:rFonts w:ascii="Rockwell" w:hAnsi="Rockwell"/>
          <w:sz w:val="24"/>
          <w:szCs w:val="24"/>
        </w:rPr>
        <w:t xml:space="preserve"> Panels of </w:t>
      </w:r>
      <w:r w:rsidR="00AA7AB7" w:rsidRPr="0098682B">
        <w:rPr>
          <w:rFonts w:ascii="Rockwell" w:hAnsi="Rockwell"/>
          <w:sz w:val="24"/>
          <w:szCs w:val="24"/>
        </w:rPr>
        <w:t>CAPEXIL</w:t>
      </w:r>
      <w:r w:rsidR="00D23FD3" w:rsidRPr="0098682B">
        <w:rPr>
          <w:rFonts w:ascii="Rockwell" w:hAnsi="Rockwell"/>
          <w:sz w:val="24"/>
          <w:szCs w:val="24"/>
        </w:rPr>
        <w:t xml:space="preserve"> turned positive during </w:t>
      </w:r>
      <w:r w:rsidR="00030829" w:rsidRPr="0098682B">
        <w:rPr>
          <w:rFonts w:ascii="Rockwell" w:hAnsi="Rockwell"/>
          <w:sz w:val="24"/>
          <w:szCs w:val="24"/>
        </w:rPr>
        <w:t>APR</w:t>
      </w:r>
      <w:r w:rsidR="00744EAD" w:rsidRPr="0098682B">
        <w:rPr>
          <w:rFonts w:ascii="Rockwell" w:hAnsi="Rockwell"/>
          <w:sz w:val="24"/>
          <w:szCs w:val="24"/>
        </w:rPr>
        <w:t>IL</w:t>
      </w:r>
      <w:r w:rsidRPr="0098682B">
        <w:rPr>
          <w:rFonts w:ascii="Rockwell" w:hAnsi="Rockwell"/>
          <w:sz w:val="24"/>
          <w:szCs w:val="24"/>
        </w:rPr>
        <w:t>-</w:t>
      </w:r>
      <w:r w:rsidR="009C6957">
        <w:rPr>
          <w:rFonts w:ascii="Rockwell" w:hAnsi="Rockwell"/>
          <w:sz w:val="24"/>
          <w:szCs w:val="24"/>
        </w:rPr>
        <w:t>FEBRUARY</w:t>
      </w:r>
      <w:r w:rsidR="006B4505" w:rsidRPr="0098682B">
        <w:rPr>
          <w:rFonts w:ascii="Rockwell" w:hAnsi="Rockwell"/>
          <w:sz w:val="24"/>
          <w:szCs w:val="24"/>
        </w:rPr>
        <w:t xml:space="preserve"> </w:t>
      </w:r>
      <w:r w:rsidR="00583363">
        <w:rPr>
          <w:rFonts w:ascii="Rockwell" w:hAnsi="Rockwell"/>
          <w:sz w:val="24"/>
          <w:szCs w:val="24"/>
        </w:rPr>
        <w:t>2023</w:t>
      </w:r>
      <w:r w:rsidR="000E7000" w:rsidRPr="0098682B">
        <w:rPr>
          <w:rFonts w:ascii="Rockwell" w:hAnsi="Rockwell"/>
          <w:sz w:val="24"/>
          <w:szCs w:val="24"/>
        </w:rPr>
        <w:t>.</w:t>
      </w:r>
      <w:r w:rsidRPr="0098682B">
        <w:rPr>
          <w:rFonts w:ascii="Rockwell" w:hAnsi="Rockwell"/>
          <w:sz w:val="24"/>
          <w:szCs w:val="24"/>
        </w:rPr>
        <w:t xml:space="preserve"> </w:t>
      </w:r>
    </w:p>
    <w:p w:rsidR="00CB5D53" w:rsidRPr="004943A8" w:rsidRDefault="00CB5D53" w:rsidP="0044036E">
      <w:pPr>
        <w:autoSpaceDE w:val="0"/>
        <w:autoSpaceDN w:val="0"/>
        <w:adjustRightInd w:val="0"/>
        <w:spacing w:after="0"/>
        <w:jc w:val="both"/>
        <w:rPr>
          <w:rFonts w:ascii="Rockwell" w:hAnsi="Rockwell"/>
          <w:color w:val="FF0000"/>
          <w:sz w:val="24"/>
          <w:szCs w:val="24"/>
        </w:rPr>
      </w:pPr>
    </w:p>
    <w:p w:rsidR="003263DF" w:rsidRDefault="00204DF6" w:rsidP="0044036E">
      <w:pPr>
        <w:autoSpaceDE w:val="0"/>
        <w:autoSpaceDN w:val="0"/>
        <w:adjustRightInd w:val="0"/>
        <w:spacing w:after="0"/>
        <w:jc w:val="both"/>
        <w:rPr>
          <w:rFonts w:ascii="Rockwell" w:hAnsi="Rockwell"/>
          <w:sz w:val="24"/>
          <w:szCs w:val="24"/>
        </w:rPr>
      </w:pPr>
      <w:r w:rsidRPr="00276654">
        <w:rPr>
          <w:rFonts w:ascii="Rockwell" w:hAnsi="Rockwell"/>
          <w:sz w:val="24"/>
          <w:szCs w:val="24"/>
        </w:rPr>
        <w:t>Maximum growth observed in Graphite, Explosives and Accessories Panel (</w:t>
      </w:r>
      <w:r w:rsidR="004C1BB1">
        <w:rPr>
          <w:rFonts w:ascii="Rockwell" w:hAnsi="Rockwell"/>
          <w:sz w:val="24"/>
          <w:szCs w:val="24"/>
        </w:rPr>
        <w:t>49.95</w:t>
      </w:r>
      <w:r w:rsidRPr="00276654">
        <w:rPr>
          <w:rFonts w:ascii="Rockwell" w:hAnsi="Rockwell"/>
          <w:sz w:val="24"/>
          <w:szCs w:val="24"/>
        </w:rPr>
        <w:t xml:space="preserve">%) followed by </w:t>
      </w:r>
      <w:r w:rsidR="004C1BB1" w:rsidRPr="00276654">
        <w:rPr>
          <w:rFonts w:ascii="Rockwell" w:hAnsi="Rockwell"/>
          <w:sz w:val="24"/>
          <w:szCs w:val="24"/>
        </w:rPr>
        <w:t>Processed Minerals Panel (</w:t>
      </w:r>
      <w:r w:rsidR="00585981">
        <w:rPr>
          <w:rFonts w:ascii="Rockwell" w:hAnsi="Rockwell"/>
          <w:sz w:val="24"/>
          <w:szCs w:val="24"/>
        </w:rPr>
        <w:t>25.71</w:t>
      </w:r>
      <w:r w:rsidR="004C1BB1" w:rsidRPr="00276654">
        <w:rPr>
          <w:rFonts w:ascii="Rockwell" w:hAnsi="Rockwell"/>
          <w:sz w:val="24"/>
          <w:szCs w:val="24"/>
        </w:rPr>
        <w:t>%),</w:t>
      </w:r>
      <w:r w:rsidR="004C1BB1">
        <w:rPr>
          <w:rFonts w:ascii="Rockwell" w:hAnsi="Rockwell"/>
          <w:sz w:val="24"/>
          <w:szCs w:val="24"/>
        </w:rPr>
        <w:t xml:space="preserve"> </w:t>
      </w:r>
      <w:r w:rsidR="00EA599F" w:rsidRPr="00276654">
        <w:rPr>
          <w:rFonts w:ascii="Rockwell" w:hAnsi="Rockwell"/>
          <w:sz w:val="24"/>
          <w:szCs w:val="24"/>
        </w:rPr>
        <w:t>Miscellaneous Products Panel (</w:t>
      </w:r>
      <w:r w:rsidR="00585981">
        <w:rPr>
          <w:rFonts w:ascii="Rockwell" w:hAnsi="Rockwell"/>
          <w:sz w:val="24"/>
          <w:szCs w:val="24"/>
        </w:rPr>
        <w:t>23.67</w:t>
      </w:r>
      <w:r w:rsidR="00EA599F" w:rsidRPr="00276654">
        <w:rPr>
          <w:rFonts w:ascii="Rockwell" w:hAnsi="Rockwell"/>
          <w:sz w:val="24"/>
          <w:szCs w:val="24"/>
        </w:rPr>
        <w:t>%),</w:t>
      </w:r>
      <w:r w:rsidR="00EA599F">
        <w:rPr>
          <w:rFonts w:ascii="Rockwell" w:hAnsi="Rockwell"/>
          <w:sz w:val="24"/>
          <w:szCs w:val="24"/>
        </w:rPr>
        <w:t xml:space="preserve"> </w:t>
      </w:r>
      <w:r w:rsidR="003263DF" w:rsidRPr="00276654">
        <w:rPr>
          <w:rFonts w:ascii="Rockwell" w:hAnsi="Rockwell"/>
          <w:sz w:val="24"/>
          <w:szCs w:val="24"/>
        </w:rPr>
        <w:t>Glass and Glassware Panel (</w:t>
      </w:r>
      <w:r w:rsidR="00585981">
        <w:rPr>
          <w:rFonts w:ascii="Rockwell" w:hAnsi="Rockwell"/>
          <w:sz w:val="24"/>
          <w:szCs w:val="24"/>
        </w:rPr>
        <w:t>20.32</w:t>
      </w:r>
      <w:r w:rsidR="003263DF" w:rsidRPr="00276654">
        <w:rPr>
          <w:rFonts w:ascii="Rockwell" w:hAnsi="Rockwell"/>
          <w:sz w:val="24"/>
          <w:szCs w:val="24"/>
        </w:rPr>
        <w:t>%),</w:t>
      </w:r>
      <w:r w:rsidR="003263DF">
        <w:rPr>
          <w:rFonts w:ascii="Rockwell" w:hAnsi="Rockwell"/>
          <w:sz w:val="24"/>
          <w:szCs w:val="24"/>
        </w:rPr>
        <w:t xml:space="preserve"> </w:t>
      </w:r>
      <w:r w:rsidR="00CB5D53" w:rsidRPr="00276654">
        <w:rPr>
          <w:rFonts w:ascii="Rockwell" w:hAnsi="Rockwell"/>
          <w:sz w:val="24"/>
          <w:szCs w:val="24"/>
        </w:rPr>
        <w:t>Ossein and Gelatine Panel (</w:t>
      </w:r>
      <w:r w:rsidR="00585981">
        <w:rPr>
          <w:rFonts w:ascii="Rockwell" w:hAnsi="Rockwell"/>
          <w:sz w:val="24"/>
          <w:szCs w:val="24"/>
        </w:rPr>
        <w:t>18.30</w:t>
      </w:r>
      <w:r w:rsidR="00CB5D53" w:rsidRPr="00276654">
        <w:rPr>
          <w:rFonts w:ascii="Rockwell" w:hAnsi="Rockwell"/>
          <w:sz w:val="24"/>
          <w:szCs w:val="24"/>
        </w:rPr>
        <w:t xml:space="preserve">%), </w:t>
      </w:r>
      <w:r w:rsidR="003263DF" w:rsidRPr="00276654">
        <w:rPr>
          <w:rFonts w:ascii="Rockwell" w:hAnsi="Rockwell"/>
          <w:sz w:val="24"/>
          <w:szCs w:val="24"/>
        </w:rPr>
        <w:t>Ceramics and Allied Products Panel (</w:t>
      </w:r>
      <w:r w:rsidR="00585981">
        <w:rPr>
          <w:rFonts w:ascii="Rockwell" w:hAnsi="Rockwell"/>
          <w:sz w:val="24"/>
          <w:szCs w:val="24"/>
        </w:rPr>
        <w:t>11.84</w:t>
      </w:r>
      <w:r w:rsidR="003263DF">
        <w:rPr>
          <w:rFonts w:ascii="Rockwell" w:hAnsi="Rockwell"/>
          <w:sz w:val="24"/>
          <w:szCs w:val="24"/>
        </w:rPr>
        <w:t xml:space="preserve">%), </w:t>
      </w:r>
      <w:r w:rsidR="004C1BB1" w:rsidRPr="00276654">
        <w:rPr>
          <w:rFonts w:ascii="Rockwell" w:hAnsi="Rockwell"/>
          <w:sz w:val="24"/>
          <w:szCs w:val="24"/>
        </w:rPr>
        <w:t>Rubber Products Panel (</w:t>
      </w:r>
      <w:r w:rsidR="00585981">
        <w:rPr>
          <w:rFonts w:ascii="Rockwell" w:hAnsi="Rockwell"/>
          <w:sz w:val="24"/>
          <w:szCs w:val="24"/>
        </w:rPr>
        <w:t>8.68</w:t>
      </w:r>
      <w:r w:rsidR="004C1BB1">
        <w:rPr>
          <w:rFonts w:ascii="Rockwell" w:hAnsi="Rockwell"/>
          <w:sz w:val="24"/>
          <w:szCs w:val="24"/>
        </w:rPr>
        <w:t xml:space="preserve">%), </w:t>
      </w:r>
      <w:r w:rsidR="007D0016" w:rsidRPr="00276654">
        <w:rPr>
          <w:rFonts w:ascii="Rockwell" w:hAnsi="Rockwell"/>
          <w:sz w:val="24"/>
          <w:szCs w:val="24"/>
        </w:rPr>
        <w:t>Books, Publications and Printing Panel (</w:t>
      </w:r>
      <w:r w:rsidR="00585981">
        <w:rPr>
          <w:rFonts w:ascii="Rockwell" w:hAnsi="Rockwell"/>
          <w:sz w:val="24"/>
          <w:szCs w:val="24"/>
        </w:rPr>
        <w:t>8.19</w:t>
      </w:r>
      <w:r w:rsidR="004C1BB1">
        <w:rPr>
          <w:rFonts w:ascii="Rockwell" w:hAnsi="Rockwell"/>
          <w:sz w:val="24"/>
          <w:szCs w:val="24"/>
        </w:rPr>
        <w:t>%)</w:t>
      </w:r>
      <w:r w:rsidR="007D0016" w:rsidRPr="00276654">
        <w:rPr>
          <w:rFonts w:ascii="Rockwell" w:hAnsi="Rockwell"/>
          <w:sz w:val="24"/>
          <w:szCs w:val="24"/>
        </w:rPr>
        <w:t xml:space="preserve"> </w:t>
      </w:r>
      <w:r w:rsidR="00EA599F">
        <w:rPr>
          <w:rFonts w:ascii="Rockwell" w:hAnsi="Rockwell"/>
          <w:sz w:val="24"/>
          <w:szCs w:val="24"/>
        </w:rPr>
        <w:t xml:space="preserve">and </w:t>
      </w:r>
      <w:r w:rsidR="007D0016" w:rsidRPr="00276654">
        <w:rPr>
          <w:rFonts w:ascii="Rockwell" w:hAnsi="Rockwell"/>
          <w:sz w:val="24"/>
          <w:szCs w:val="24"/>
        </w:rPr>
        <w:t>Auto Tyres and Tubes Panel (</w:t>
      </w:r>
      <w:r w:rsidR="00585981">
        <w:rPr>
          <w:rFonts w:ascii="Rockwell" w:hAnsi="Rockwell"/>
          <w:sz w:val="24"/>
          <w:szCs w:val="24"/>
        </w:rPr>
        <w:t>3.31</w:t>
      </w:r>
      <w:r w:rsidR="004C1BB1">
        <w:rPr>
          <w:rFonts w:ascii="Rockwell" w:hAnsi="Rockwell"/>
          <w:sz w:val="24"/>
          <w:szCs w:val="24"/>
        </w:rPr>
        <w:t>%)</w:t>
      </w:r>
      <w:r w:rsidR="00585981">
        <w:rPr>
          <w:rFonts w:ascii="Rockwell" w:hAnsi="Rockwell"/>
          <w:sz w:val="24"/>
          <w:szCs w:val="24"/>
        </w:rPr>
        <w:t>.</w:t>
      </w:r>
    </w:p>
    <w:p w:rsidR="00EA599F" w:rsidRPr="00930ED6" w:rsidRDefault="00EA599F" w:rsidP="0044036E">
      <w:pPr>
        <w:autoSpaceDE w:val="0"/>
        <w:autoSpaceDN w:val="0"/>
        <w:adjustRightInd w:val="0"/>
        <w:spacing w:after="0"/>
        <w:jc w:val="both"/>
        <w:rPr>
          <w:rFonts w:ascii="Rockwell" w:hAnsi="Rockwell"/>
          <w:color w:val="FF0000"/>
          <w:sz w:val="24"/>
          <w:szCs w:val="24"/>
        </w:rPr>
      </w:pPr>
    </w:p>
    <w:p w:rsidR="00E927BA" w:rsidRPr="009371B5" w:rsidRDefault="00E927BA" w:rsidP="00BB2CCD">
      <w:pPr>
        <w:pStyle w:val="ListParagraph"/>
        <w:numPr>
          <w:ilvl w:val="0"/>
          <w:numId w:val="8"/>
        </w:numPr>
        <w:spacing w:after="0"/>
        <w:jc w:val="both"/>
        <w:rPr>
          <w:rFonts w:ascii="Rockwell" w:hAnsi="Rockwell" w:cs="Times New Roman"/>
          <w:sz w:val="24"/>
          <w:szCs w:val="24"/>
        </w:rPr>
      </w:pPr>
      <w:r w:rsidRPr="009371B5">
        <w:rPr>
          <w:rFonts w:ascii="Rockwell" w:hAnsi="Rockwell" w:cs="Times New Roman"/>
          <w:sz w:val="24"/>
          <w:szCs w:val="24"/>
        </w:rPr>
        <w:t xml:space="preserve">The major markets for </w:t>
      </w:r>
      <w:r w:rsidR="00AA7AB7" w:rsidRPr="009371B5">
        <w:rPr>
          <w:rFonts w:ascii="Rockwell" w:hAnsi="Rockwell" w:cs="Times New Roman"/>
          <w:sz w:val="24"/>
          <w:szCs w:val="24"/>
        </w:rPr>
        <w:t>CAPEXIL</w:t>
      </w:r>
      <w:r w:rsidRPr="009371B5">
        <w:rPr>
          <w:rFonts w:ascii="Rockwell" w:hAnsi="Rockwell" w:cs="Times New Roman"/>
          <w:sz w:val="24"/>
          <w:szCs w:val="24"/>
        </w:rPr>
        <w:t xml:space="preserve">’s products during </w:t>
      </w:r>
      <w:r w:rsidR="00030829">
        <w:rPr>
          <w:rFonts w:ascii="Rockwell" w:hAnsi="Rockwell" w:cs="Times New Roman"/>
          <w:sz w:val="24"/>
          <w:szCs w:val="24"/>
        </w:rPr>
        <w:t>APR</w:t>
      </w:r>
      <w:r w:rsidR="00744EAD" w:rsidRPr="009371B5">
        <w:rPr>
          <w:rFonts w:ascii="Rockwell" w:hAnsi="Rockwell" w:cs="Times New Roman"/>
          <w:sz w:val="24"/>
          <w:szCs w:val="24"/>
        </w:rPr>
        <w:t>IL</w:t>
      </w:r>
      <w:r w:rsidR="00BC776E" w:rsidRPr="009371B5">
        <w:rPr>
          <w:rFonts w:ascii="Rockwell" w:hAnsi="Rockwell" w:cs="Times New Roman"/>
          <w:sz w:val="24"/>
          <w:szCs w:val="24"/>
        </w:rPr>
        <w:t>-</w:t>
      </w:r>
      <w:r w:rsidR="009C6957">
        <w:rPr>
          <w:rFonts w:ascii="Rockwell" w:hAnsi="Rockwell" w:cs="Times New Roman"/>
          <w:sz w:val="24"/>
          <w:szCs w:val="24"/>
        </w:rPr>
        <w:t>FEBRUARY</w:t>
      </w:r>
      <w:r w:rsidR="00CD4BF2" w:rsidRPr="009371B5">
        <w:rPr>
          <w:rFonts w:ascii="Rockwell" w:hAnsi="Rockwell" w:cs="Times New Roman"/>
          <w:sz w:val="24"/>
          <w:szCs w:val="24"/>
        </w:rPr>
        <w:t xml:space="preserve"> </w:t>
      </w:r>
      <w:r w:rsidR="00583363">
        <w:rPr>
          <w:rFonts w:ascii="Rockwell" w:hAnsi="Rockwell" w:cs="Times New Roman"/>
          <w:sz w:val="24"/>
          <w:szCs w:val="24"/>
        </w:rPr>
        <w:t>2023</w:t>
      </w:r>
      <w:r w:rsidRPr="009371B5">
        <w:rPr>
          <w:rFonts w:ascii="Rockwell" w:hAnsi="Rockwell" w:cs="Times New Roman"/>
          <w:sz w:val="24"/>
          <w:szCs w:val="24"/>
        </w:rPr>
        <w:t xml:space="preserve"> are </w:t>
      </w:r>
      <w:r w:rsidR="008F2638" w:rsidRPr="00112BF2">
        <w:rPr>
          <w:rFonts w:ascii="Rockwell" w:hAnsi="Rockwell" w:cs="Times New Roman"/>
          <w:sz w:val="24"/>
          <w:szCs w:val="24"/>
        </w:rPr>
        <w:t xml:space="preserve">U S A, </w:t>
      </w:r>
      <w:r w:rsidR="00112BF2" w:rsidRPr="00112BF2">
        <w:rPr>
          <w:rFonts w:ascii="Rockwell" w:hAnsi="Rockwell" w:cs="Times New Roman"/>
          <w:sz w:val="24"/>
          <w:szCs w:val="24"/>
        </w:rPr>
        <w:t>CHINA P RP,</w:t>
      </w:r>
      <w:r w:rsidR="00112BF2">
        <w:rPr>
          <w:rFonts w:ascii="Rockwell" w:hAnsi="Rockwell" w:cs="Times New Roman"/>
          <w:sz w:val="24"/>
          <w:szCs w:val="24"/>
        </w:rPr>
        <w:t xml:space="preserve"> </w:t>
      </w:r>
      <w:r w:rsidR="009371B5" w:rsidRPr="00112BF2">
        <w:rPr>
          <w:rFonts w:ascii="Rockwell" w:hAnsi="Rockwell" w:cs="Times New Roman"/>
          <w:sz w:val="24"/>
          <w:szCs w:val="24"/>
        </w:rPr>
        <w:t>U A</w:t>
      </w:r>
      <w:r w:rsidR="00A7371A">
        <w:rPr>
          <w:rFonts w:ascii="Rockwell" w:hAnsi="Rockwell" w:cs="Times New Roman"/>
          <w:sz w:val="24"/>
          <w:szCs w:val="24"/>
        </w:rPr>
        <w:t xml:space="preserve">RAB EMTS, NETHERLAND, </w:t>
      </w:r>
      <w:r w:rsidR="00F93623" w:rsidRPr="00112BF2">
        <w:rPr>
          <w:rFonts w:ascii="Rockwell" w:hAnsi="Rockwell" w:cs="Times New Roman"/>
          <w:sz w:val="24"/>
          <w:szCs w:val="24"/>
        </w:rPr>
        <w:t>MALAYSIA,</w:t>
      </w:r>
      <w:r w:rsidR="00F93623">
        <w:rPr>
          <w:rFonts w:ascii="Rockwell" w:hAnsi="Rockwell" w:cs="Times New Roman"/>
          <w:sz w:val="24"/>
          <w:szCs w:val="24"/>
        </w:rPr>
        <w:t xml:space="preserve"> </w:t>
      </w:r>
      <w:r w:rsidR="00A7371A">
        <w:rPr>
          <w:rFonts w:ascii="Rockwell" w:hAnsi="Rockwell" w:cs="Times New Roman"/>
          <w:sz w:val="24"/>
          <w:szCs w:val="24"/>
        </w:rPr>
        <w:t xml:space="preserve">KOREA RP, </w:t>
      </w:r>
      <w:r w:rsidR="00902FCD" w:rsidRPr="00112BF2">
        <w:rPr>
          <w:rFonts w:ascii="Rockwell" w:hAnsi="Rockwell" w:cs="Times New Roman"/>
          <w:sz w:val="24"/>
          <w:szCs w:val="24"/>
        </w:rPr>
        <w:t>ITALY,</w:t>
      </w:r>
      <w:r w:rsidR="00902FCD">
        <w:rPr>
          <w:rFonts w:ascii="Rockwell" w:hAnsi="Rockwell" w:cs="Times New Roman"/>
          <w:sz w:val="24"/>
          <w:szCs w:val="24"/>
        </w:rPr>
        <w:t xml:space="preserve"> </w:t>
      </w:r>
      <w:r w:rsidR="00A7371A" w:rsidRPr="00112BF2">
        <w:rPr>
          <w:rFonts w:ascii="Rockwell" w:hAnsi="Rockwell" w:cs="Times New Roman"/>
          <w:sz w:val="24"/>
          <w:szCs w:val="24"/>
        </w:rPr>
        <w:t>BANGLADESH PR,</w:t>
      </w:r>
      <w:r w:rsidR="00A7371A">
        <w:rPr>
          <w:rFonts w:ascii="Rockwell" w:hAnsi="Rockwell" w:cs="Times New Roman"/>
          <w:sz w:val="24"/>
          <w:szCs w:val="24"/>
        </w:rPr>
        <w:t xml:space="preserve"> </w:t>
      </w:r>
      <w:r w:rsidR="00112BF2" w:rsidRPr="00112BF2">
        <w:rPr>
          <w:rFonts w:ascii="Rockwell" w:hAnsi="Rockwell" w:cs="Times New Roman"/>
          <w:sz w:val="24"/>
          <w:szCs w:val="24"/>
        </w:rPr>
        <w:t>SAUDI ARAB,</w:t>
      </w:r>
      <w:r w:rsidR="00112BF2">
        <w:rPr>
          <w:rFonts w:ascii="Rockwell" w:hAnsi="Rockwell" w:cs="Times New Roman"/>
          <w:sz w:val="24"/>
          <w:szCs w:val="24"/>
        </w:rPr>
        <w:t xml:space="preserve"> </w:t>
      </w:r>
      <w:r w:rsidR="00F93623" w:rsidRPr="00112BF2">
        <w:rPr>
          <w:rFonts w:ascii="Rockwell" w:hAnsi="Rockwell" w:cs="Times New Roman"/>
          <w:sz w:val="24"/>
          <w:szCs w:val="24"/>
        </w:rPr>
        <w:t>U K,</w:t>
      </w:r>
      <w:r w:rsidR="00F93623">
        <w:rPr>
          <w:rFonts w:ascii="Rockwell" w:hAnsi="Rockwell" w:cs="Times New Roman"/>
          <w:sz w:val="24"/>
          <w:szCs w:val="24"/>
        </w:rPr>
        <w:t xml:space="preserve"> </w:t>
      </w:r>
      <w:r w:rsidR="00F93623" w:rsidRPr="00112BF2">
        <w:rPr>
          <w:rFonts w:ascii="Rockwell" w:hAnsi="Rockwell" w:cs="Times New Roman"/>
          <w:sz w:val="24"/>
          <w:szCs w:val="24"/>
        </w:rPr>
        <w:t>NEPAL,</w:t>
      </w:r>
      <w:r w:rsidR="00F93623">
        <w:rPr>
          <w:rFonts w:ascii="Rockwell" w:hAnsi="Rockwell" w:cs="Times New Roman"/>
          <w:sz w:val="24"/>
          <w:szCs w:val="24"/>
        </w:rPr>
        <w:t xml:space="preserve"> </w:t>
      </w:r>
      <w:r w:rsidR="009371B5" w:rsidRPr="00112BF2">
        <w:rPr>
          <w:rFonts w:ascii="Rockwell" w:hAnsi="Rockwell" w:cs="Times New Roman"/>
          <w:sz w:val="24"/>
          <w:szCs w:val="24"/>
        </w:rPr>
        <w:t xml:space="preserve">GERMANY, </w:t>
      </w:r>
      <w:r w:rsidR="00F93623" w:rsidRPr="00B01DA0">
        <w:rPr>
          <w:rFonts w:ascii="Rockwell" w:hAnsi="Rockwell" w:cs="Times New Roman"/>
          <w:sz w:val="24"/>
          <w:szCs w:val="24"/>
        </w:rPr>
        <w:t>MEXICO</w:t>
      </w:r>
      <w:r w:rsidR="00F93623">
        <w:rPr>
          <w:rFonts w:ascii="Rockwell" w:hAnsi="Rockwell" w:cs="Times New Roman"/>
          <w:sz w:val="24"/>
          <w:szCs w:val="24"/>
        </w:rPr>
        <w:t xml:space="preserve">, VIETNAM SOC REP, </w:t>
      </w:r>
      <w:r w:rsidR="00B01DA0" w:rsidRPr="00112BF2">
        <w:rPr>
          <w:rFonts w:ascii="Rockwell" w:hAnsi="Rockwell" w:cs="Times New Roman"/>
          <w:sz w:val="24"/>
          <w:szCs w:val="24"/>
        </w:rPr>
        <w:t>TURKEY</w:t>
      </w:r>
      <w:r w:rsidR="00F93623">
        <w:rPr>
          <w:rFonts w:ascii="Rockwell" w:hAnsi="Rockwell" w:cs="Times New Roman"/>
          <w:sz w:val="24"/>
          <w:szCs w:val="24"/>
        </w:rPr>
        <w:t xml:space="preserve"> </w:t>
      </w:r>
      <w:r w:rsidR="00A03C87" w:rsidRPr="00112BF2">
        <w:rPr>
          <w:rFonts w:ascii="Rockwell" w:hAnsi="Rockwell" w:cs="Times New Roman"/>
          <w:sz w:val="24"/>
          <w:szCs w:val="24"/>
        </w:rPr>
        <w:t xml:space="preserve">etc. </w:t>
      </w:r>
    </w:p>
    <w:p w:rsidR="00E927BA" w:rsidRPr="00930ED6" w:rsidRDefault="00E927BA" w:rsidP="00E927BA">
      <w:pPr>
        <w:pStyle w:val="ListParagraph"/>
        <w:spacing w:after="0"/>
        <w:jc w:val="both"/>
        <w:rPr>
          <w:rFonts w:ascii="Rockwell" w:hAnsi="Rockwell" w:cs="Times New Roman"/>
          <w:color w:val="FF0000"/>
          <w:sz w:val="24"/>
          <w:szCs w:val="24"/>
        </w:rPr>
      </w:pPr>
    </w:p>
    <w:p w:rsidR="00EC633B" w:rsidRDefault="00B927C3" w:rsidP="00902FCD">
      <w:pPr>
        <w:pStyle w:val="ListParagraph"/>
        <w:numPr>
          <w:ilvl w:val="0"/>
          <w:numId w:val="8"/>
        </w:numPr>
        <w:spacing w:after="0"/>
        <w:jc w:val="both"/>
        <w:rPr>
          <w:rFonts w:ascii="Rockwell" w:hAnsi="Rockwell" w:cs="Times New Roman"/>
          <w:sz w:val="24"/>
          <w:szCs w:val="24"/>
        </w:rPr>
      </w:pPr>
      <w:r w:rsidRPr="00AF5220">
        <w:rPr>
          <w:rFonts w:ascii="Rockwell" w:hAnsi="Rockwell" w:cs="Times New Roman"/>
          <w:sz w:val="24"/>
          <w:szCs w:val="24"/>
        </w:rPr>
        <w:t xml:space="preserve">Aluminium Ingot, </w:t>
      </w:r>
      <w:r w:rsidR="00902FCD" w:rsidRPr="00AF5220">
        <w:rPr>
          <w:rFonts w:ascii="Rockwell" w:hAnsi="Rockwell" w:cs="Times New Roman"/>
          <w:sz w:val="24"/>
          <w:szCs w:val="24"/>
        </w:rPr>
        <w:t>Auto Tyres,</w:t>
      </w:r>
      <w:r w:rsidR="00902FCD">
        <w:rPr>
          <w:rFonts w:ascii="Rockwell" w:hAnsi="Rockwell" w:cs="Times New Roman"/>
          <w:sz w:val="24"/>
          <w:szCs w:val="24"/>
        </w:rPr>
        <w:t xml:space="preserve"> </w:t>
      </w:r>
      <w:r w:rsidR="00902FCD" w:rsidRPr="00AF5220">
        <w:rPr>
          <w:rFonts w:ascii="Rockwell" w:hAnsi="Rockwell" w:cs="Times New Roman"/>
          <w:sz w:val="24"/>
          <w:szCs w:val="24"/>
        </w:rPr>
        <w:t>Ceramic Tiles,</w:t>
      </w:r>
      <w:r w:rsidR="00902FCD">
        <w:rPr>
          <w:rFonts w:ascii="Rockwell" w:hAnsi="Rockwell" w:cs="Times New Roman"/>
          <w:sz w:val="24"/>
          <w:szCs w:val="24"/>
        </w:rPr>
        <w:t xml:space="preserve"> </w:t>
      </w:r>
      <w:r w:rsidR="008F2638" w:rsidRPr="00AF5220">
        <w:rPr>
          <w:rFonts w:ascii="Rockwell" w:hAnsi="Rockwell" w:cs="Times New Roman"/>
          <w:sz w:val="24"/>
          <w:szCs w:val="24"/>
        </w:rPr>
        <w:t xml:space="preserve">Other paper &amp; paperboard, </w:t>
      </w:r>
      <w:r w:rsidR="00D95851" w:rsidRPr="00AF5220">
        <w:rPr>
          <w:rFonts w:ascii="Rockwell" w:hAnsi="Rockwell" w:cs="Times New Roman"/>
          <w:sz w:val="24"/>
          <w:szCs w:val="24"/>
        </w:rPr>
        <w:t xml:space="preserve">Granite </w:t>
      </w:r>
      <w:r w:rsidR="00264560" w:rsidRPr="00AF5220">
        <w:rPr>
          <w:rFonts w:ascii="Rockwell" w:hAnsi="Rockwell" w:cs="Times New Roman"/>
          <w:sz w:val="24"/>
          <w:szCs w:val="24"/>
        </w:rPr>
        <w:t xml:space="preserve">and </w:t>
      </w:r>
      <w:r w:rsidR="00D95851" w:rsidRPr="00AF5220">
        <w:rPr>
          <w:rFonts w:ascii="Rockwell" w:hAnsi="Rockwell" w:cs="Times New Roman"/>
          <w:sz w:val="24"/>
          <w:szCs w:val="24"/>
        </w:rPr>
        <w:t xml:space="preserve">Products, </w:t>
      </w:r>
      <w:r w:rsidR="00902FCD" w:rsidRPr="00902FCD">
        <w:rPr>
          <w:rFonts w:ascii="Rockwell" w:hAnsi="Rockwell" w:cs="Times New Roman"/>
          <w:sz w:val="24"/>
          <w:szCs w:val="24"/>
        </w:rPr>
        <w:t>Iron ores</w:t>
      </w:r>
      <w:r w:rsidR="00902FCD">
        <w:rPr>
          <w:rFonts w:ascii="Rockwell" w:hAnsi="Rockwell" w:cs="Times New Roman"/>
          <w:sz w:val="24"/>
          <w:szCs w:val="24"/>
        </w:rPr>
        <w:t xml:space="preserve">, </w:t>
      </w:r>
      <w:r w:rsidR="008F2638" w:rsidRPr="00AF5220">
        <w:rPr>
          <w:rFonts w:ascii="Rockwell" w:hAnsi="Rockwell" w:cs="Times New Roman"/>
          <w:sz w:val="24"/>
          <w:szCs w:val="24"/>
        </w:rPr>
        <w:t xml:space="preserve">Wooden furniture, </w:t>
      </w:r>
      <w:r w:rsidR="00902FCD">
        <w:rPr>
          <w:rFonts w:ascii="Rockwell" w:hAnsi="Rockwell" w:cs="Times New Roman"/>
          <w:sz w:val="24"/>
          <w:szCs w:val="24"/>
        </w:rPr>
        <w:t>Calcined alumina (</w:t>
      </w:r>
      <w:r w:rsidR="00902FCD" w:rsidRPr="00902FCD">
        <w:rPr>
          <w:rFonts w:ascii="Rockwell" w:hAnsi="Rockwell" w:cs="Times New Roman"/>
          <w:sz w:val="24"/>
          <w:szCs w:val="24"/>
        </w:rPr>
        <w:t>including other aluminium oxide)</w:t>
      </w:r>
      <w:r w:rsidR="00902FCD">
        <w:rPr>
          <w:rFonts w:ascii="Rockwell" w:hAnsi="Rockwell" w:cs="Times New Roman"/>
          <w:sz w:val="24"/>
          <w:szCs w:val="24"/>
        </w:rPr>
        <w:t xml:space="preserve">, </w:t>
      </w:r>
      <w:r w:rsidR="008F2638" w:rsidRPr="00AF5220">
        <w:rPr>
          <w:rFonts w:ascii="Rockwell" w:hAnsi="Rockwell" w:cs="Times New Roman"/>
          <w:sz w:val="24"/>
          <w:szCs w:val="24"/>
        </w:rPr>
        <w:t>Pigments and colouring materials</w:t>
      </w:r>
      <w:r w:rsidR="00264560" w:rsidRPr="00AF5220">
        <w:rPr>
          <w:rFonts w:ascii="Rockwell" w:hAnsi="Rockwell" w:cs="Times New Roman"/>
          <w:sz w:val="24"/>
          <w:szCs w:val="24"/>
        </w:rPr>
        <w:t xml:space="preserve">, </w:t>
      </w:r>
      <w:r w:rsidR="008F2638" w:rsidRPr="00AF5220">
        <w:rPr>
          <w:rFonts w:ascii="Rockwell" w:hAnsi="Rockwell" w:cs="Times New Roman"/>
          <w:sz w:val="24"/>
          <w:szCs w:val="24"/>
        </w:rPr>
        <w:t>Asbestos cement products</w:t>
      </w:r>
      <w:r w:rsidR="00B06FBE" w:rsidRPr="00AF5220">
        <w:rPr>
          <w:rFonts w:ascii="Rockwell" w:hAnsi="Rockwell" w:cs="Times New Roman"/>
          <w:sz w:val="24"/>
          <w:szCs w:val="24"/>
        </w:rPr>
        <w:t xml:space="preserve">, </w:t>
      </w:r>
      <w:r w:rsidR="00902FCD" w:rsidRPr="00AF5220">
        <w:rPr>
          <w:rFonts w:ascii="Rockwell" w:hAnsi="Rockwell" w:cs="Times New Roman"/>
          <w:sz w:val="24"/>
          <w:szCs w:val="24"/>
        </w:rPr>
        <w:t>Paper products nes,</w:t>
      </w:r>
      <w:r w:rsidR="00902FCD">
        <w:rPr>
          <w:rFonts w:ascii="Rockwell" w:hAnsi="Rockwell" w:cs="Times New Roman"/>
          <w:sz w:val="24"/>
          <w:szCs w:val="24"/>
        </w:rPr>
        <w:t xml:space="preserve"> </w:t>
      </w:r>
      <w:r w:rsidR="008F2638" w:rsidRPr="00AF5220">
        <w:rPr>
          <w:rFonts w:ascii="Rockwell" w:hAnsi="Rockwell" w:cs="Times New Roman"/>
          <w:sz w:val="24"/>
          <w:szCs w:val="24"/>
        </w:rPr>
        <w:t>Other stones &amp; products</w:t>
      </w:r>
      <w:r w:rsidR="00D95851" w:rsidRPr="00AF5220">
        <w:rPr>
          <w:rFonts w:ascii="Rockwell" w:hAnsi="Rockwell" w:cs="Times New Roman"/>
          <w:sz w:val="24"/>
          <w:szCs w:val="24"/>
        </w:rPr>
        <w:t xml:space="preserve">, </w:t>
      </w:r>
      <w:r w:rsidR="008F2638" w:rsidRPr="00AF5220">
        <w:rPr>
          <w:rFonts w:ascii="Rockwell" w:hAnsi="Rockwell" w:cs="Times New Roman"/>
          <w:sz w:val="24"/>
          <w:szCs w:val="24"/>
        </w:rPr>
        <w:t xml:space="preserve">Other articles of wood, Glass phials/bottles, Rubber Sheets </w:t>
      </w:r>
      <w:r w:rsidRPr="00AF5220">
        <w:rPr>
          <w:rFonts w:ascii="Rockwell" w:hAnsi="Rockwell" w:cs="Times New Roman"/>
          <w:sz w:val="24"/>
          <w:szCs w:val="24"/>
        </w:rPr>
        <w:t>are the top 1</w:t>
      </w:r>
      <w:r w:rsidR="008F2638" w:rsidRPr="00AF5220">
        <w:rPr>
          <w:rFonts w:ascii="Rockwell" w:hAnsi="Rockwell" w:cs="Times New Roman"/>
          <w:sz w:val="24"/>
          <w:szCs w:val="24"/>
        </w:rPr>
        <w:t>5</w:t>
      </w:r>
      <w:r w:rsidRPr="00AF5220">
        <w:rPr>
          <w:rFonts w:ascii="Rockwell" w:hAnsi="Rockwell" w:cs="Times New Roman"/>
          <w:sz w:val="24"/>
          <w:szCs w:val="24"/>
        </w:rPr>
        <w:t xml:space="preserve"> products being exported under </w:t>
      </w:r>
      <w:r w:rsidR="00AA7AB7" w:rsidRPr="00AF5220">
        <w:rPr>
          <w:rFonts w:ascii="Rockwell" w:hAnsi="Rockwell" w:cs="Times New Roman"/>
          <w:sz w:val="24"/>
          <w:szCs w:val="24"/>
        </w:rPr>
        <w:t>CAPEXIL</w:t>
      </w:r>
      <w:r w:rsidRPr="00AF5220">
        <w:rPr>
          <w:rFonts w:ascii="Rockwell" w:hAnsi="Rockwell" w:cs="Times New Roman"/>
          <w:sz w:val="24"/>
          <w:szCs w:val="24"/>
        </w:rPr>
        <w:t xml:space="preserve"> during </w:t>
      </w:r>
      <w:r w:rsidR="00030829">
        <w:rPr>
          <w:rFonts w:ascii="Rockwell" w:hAnsi="Rockwell" w:cs="Times New Roman"/>
          <w:sz w:val="24"/>
          <w:szCs w:val="24"/>
        </w:rPr>
        <w:t>APR</w:t>
      </w:r>
      <w:r w:rsidR="00744EAD">
        <w:rPr>
          <w:rFonts w:ascii="Rockwell" w:hAnsi="Rockwell" w:cs="Times New Roman"/>
          <w:sz w:val="24"/>
          <w:szCs w:val="24"/>
        </w:rPr>
        <w:t>IL</w:t>
      </w:r>
      <w:r w:rsidR="008F2638" w:rsidRPr="00AF5220">
        <w:rPr>
          <w:rFonts w:ascii="Rockwell" w:hAnsi="Rockwell" w:cs="Times New Roman"/>
          <w:sz w:val="24"/>
          <w:szCs w:val="24"/>
        </w:rPr>
        <w:t>-</w:t>
      </w:r>
      <w:r w:rsidR="009C6957">
        <w:rPr>
          <w:rFonts w:ascii="Rockwell" w:hAnsi="Rockwell" w:cs="Times New Roman"/>
          <w:sz w:val="24"/>
          <w:szCs w:val="24"/>
        </w:rPr>
        <w:t>FEBRUARY</w:t>
      </w:r>
      <w:r w:rsidR="00EE5B89" w:rsidRPr="00AF5220">
        <w:rPr>
          <w:rFonts w:ascii="Rockwell" w:hAnsi="Rockwell" w:cs="Times New Roman"/>
          <w:sz w:val="24"/>
          <w:szCs w:val="24"/>
        </w:rPr>
        <w:t xml:space="preserve"> </w:t>
      </w:r>
      <w:r w:rsidR="00583363">
        <w:rPr>
          <w:rFonts w:ascii="Rockwell" w:hAnsi="Rockwell" w:cs="Times New Roman"/>
          <w:sz w:val="24"/>
          <w:szCs w:val="24"/>
        </w:rPr>
        <w:t>2023</w:t>
      </w:r>
      <w:r w:rsidRPr="00AF5220">
        <w:rPr>
          <w:rFonts w:ascii="Rockwell" w:hAnsi="Rockwell" w:cs="Times New Roman"/>
          <w:sz w:val="24"/>
          <w:szCs w:val="24"/>
        </w:rPr>
        <w:t>.</w:t>
      </w:r>
    </w:p>
    <w:p w:rsidR="00CD2E04" w:rsidRPr="00CD2E04" w:rsidRDefault="00CD2E04" w:rsidP="00CD2E04">
      <w:pPr>
        <w:spacing w:after="0"/>
        <w:jc w:val="both"/>
        <w:rPr>
          <w:rFonts w:ascii="Rockwell" w:hAnsi="Rockwell" w:cs="Times New Roman"/>
          <w:sz w:val="24"/>
          <w:szCs w:val="24"/>
        </w:rPr>
      </w:pPr>
    </w:p>
    <w:p w:rsidR="00DF6275" w:rsidRPr="00EC70CF" w:rsidRDefault="00DF6275" w:rsidP="00DF6275">
      <w:pPr>
        <w:spacing w:after="0"/>
        <w:jc w:val="center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Top 10 destinations of each panel</w:t>
      </w:r>
    </w:p>
    <w:p w:rsidR="00DF6275" w:rsidRPr="00EC70CF" w:rsidRDefault="00DF6275" w:rsidP="00CE4C19">
      <w:pPr>
        <w:spacing w:after="0"/>
        <w:jc w:val="both"/>
        <w:rPr>
          <w:rFonts w:ascii="Rockwell" w:hAnsi="Rockwell" w:cs="Times New Roman"/>
          <w:b/>
          <w:color w:val="000000" w:themeColor="text1"/>
          <w:sz w:val="14"/>
          <w:szCs w:val="24"/>
          <w:highlight w:val="lightGray"/>
          <w:u w:val="single"/>
        </w:rPr>
      </w:pPr>
    </w:p>
    <w:p w:rsidR="00DD05C5" w:rsidRPr="00EC70CF" w:rsidRDefault="00DD05C5" w:rsidP="00F01A0E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Mineral Sector:</w:t>
      </w:r>
    </w:p>
    <w:p w:rsidR="00D85CBE" w:rsidRPr="00EC70CF" w:rsidRDefault="00D85CBE" w:rsidP="00D85CBE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Bulk Minerals and Ores Panel:</w:t>
      </w:r>
    </w:p>
    <w:p w:rsidR="00CB0079" w:rsidRPr="00EC70CF" w:rsidRDefault="00CB0079" w:rsidP="00D85CBE">
      <w:pPr>
        <w:spacing w:after="0"/>
        <w:jc w:val="both"/>
        <w:rPr>
          <w:rFonts w:ascii="Rockwell" w:hAnsi="Rockwell" w:cs="Times New Roman"/>
          <w:b/>
          <w:color w:val="000000" w:themeColor="text1"/>
          <w:sz w:val="16"/>
          <w:szCs w:val="24"/>
          <w:highlight w:val="lightGray"/>
          <w:u w:val="single"/>
        </w:rPr>
      </w:pPr>
    </w:p>
    <w:p w:rsidR="00861CAB" w:rsidRPr="00EC70CF" w:rsidRDefault="00D85CBE" w:rsidP="00D85CBE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"Bulk Minerals and Ores"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</w:t>
      </w:r>
      <w:r w:rsidR="00382987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are 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17"/>
        <w:gridCol w:w="1517"/>
        <w:gridCol w:w="1213"/>
        <w:gridCol w:w="1593"/>
        <w:gridCol w:w="1548"/>
        <w:gridCol w:w="1259"/>
      </w:tblGrid>
      <w:tr w:rsidR="00A763D5" w:rsidRPr="009371B5" w:rsidTr="007E05F4">
        <w:trPr>
          <w:trHeight w:val="327"/>
          <w:jc w:val="center"/>
        </w:trPr>
        <w:tc>
          <w:tcPr>
            <w:tcW w:w="2127" w:type="dxa"/>
            <w:shd w:val="clear" w:color="auto" w:fill="8DB3E2" w:themeFill="text2" w:themeFillTint="66"/>
            <w:vAlign w:val="center"/>
            <w:hideMark/>
          </w:tcPr>
          <w:p w:rsidR="00A763D5" w:rsidRPr="009371B5" w:rsidRDefault="00A763D5" w:rsidP="00A763D5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</w:pPr>
            <w:r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COUNTRY</w:t>
            </w:r>
          </w:p>
        </w:tc>
        <w:tc>
          <w:tcPr>
            <w:tcW w:w="1517" w:type="dxa"/>
            <w:shd w:val="clear" w:color="auto" w:fill="8DB3E2" w:themeFill="text2" w:themeFillTint="66"/>
            <w:vAlign w:val="center"/>
            <w:hideMark/>
          </w:tcPr>
          <w:p w:rsidR="00A763D5" w:rsidRPr="009371B5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,</w:t>
            </w:r>
            <w:r w:rsidR="004C1BBE"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2022</w:t>
            </w:r>
          </w:p>
        </w:tc>
        <w:tc>
          <w:tcPr>
            <w:tcW w:w="1517" w:type="dxa"/>
            <w:shd w:val="clear" w:color="auto" w:fill="8DB3E2" w:themeFill="text2" w:themeFillTint="66"/>
            <w:vAlign w:val="center"/>
            <w:hideMark/>
          </w:tcPr>
          <w:p w:rsidR="00A763D5" w:rsidRPr="009371B5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,</w:t>
            </w:r>
            <w:r w:rsidR="004C1BBE"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2023</w:t>
            </w:r>
          </w:p>
        </w:tc>
        <w:tc>
          <w:tcPr>
            <w:tcW w:w="1213" w:type="dxa"/>
            <w:shd w:val="clear" w:color="auto" w:fill="8DB3E2" w:themeFill="text2" w:themeFillTint="66"/>
            <w:vAlign w:val="center"/>
          </w:tcPr>
          <w:p w:rsidR="00A763D5" w:rsidRPr="009371B5" w:rsidRDefault="00A763D5" w:rsidP="00A763D5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</w:pPr>
            <w:r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Growth %</w:t>
            </w:r>
          </w:p>
        </w:tc>
        <w:tc>
          <w:tcPr>
            <w:tcW w:w="1593" w:type="dxa"/>
            <w:shd w:val="clear" w:color="auto" w:fill="8DB3E2" w:themeFill="text2" w:themeFillTint="66"/>
            <w:vAlign w:val="center"/>
          </w:tcPr>
          <w:p w:rsidR="00A763D5" w:rsidRPr="009371B5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APR</w:t>
            </w:r>
            <w:r w:rsidR="00A763D5"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,</w:t>
            </w:r>
            <w:r w:rsidR="004C1BBE"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2022</w:t>
            </w:r>
          </w:p>
        </w:tc>
        <w:tc>
          <w:tcPr>
            <w:tcW w:w="1548" w:type="dxa"/>
            <w:shd w:val="clear" w:color="auto" w:fill="8DB3E2" w:themeFill="text2" w:themeFillTint="66"/>
            <w:vAlign w:val="center"/>
          </w:tcPr>
          <w:p w:rsidR="00A763D5" w:rsidRPr="009371B5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APR</w:t>
            </w:r>
            <w:r w:rsidR="00A763D5"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,</w:t>
            </w:r>
            <w:r w:rsidR="004C1BBE"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2023</w:t>
            </w:r>
          </w:p>
        </w:tc>
        <w:tc>
          <w:tcPr>
            <w:tcW w:w="1259" w:type="dxa"/>
            <w:shd w:val="clear" w:color="auto" w:fill="8DB3E2" w:themeFill="text2" w:themeFillTint="66"/>
            <w:vAlign w:val="center"/>
          </w:tcPr>
          <w:p w:rsidR="00A763D5" w:rsidRPr="009371B5" w:rsidRDefault="00A763D5" w:rsidP="00A763D5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</w:pPr>
            <w:r w:rsidRPr="009371B5">
              <w:rPr>
                <w:rFonts w:ascii="Rockwell" w:eastAsia="Times New Roman" w:hAnsi="Rockwell" w:cs="Tahoma"/>
                <w:b/>
                <w:bCs/>
                <w:color w:val="000000" w:themeColor="text1"/>
                <w:sz w:val="16"/>
                <w:szCs w:val="20"/>
                <w:lang w:val="en-US"/>
              </w:rPr>
              <w:t>Growth %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CHINA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328518531.5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1359917664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MALAYSIA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20112185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140801969.1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600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192931672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772241431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300.27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KOREA, REPULIC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25589488.4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681067864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NETHERLANDS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19731840.72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644919834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MEXICO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57162591.02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223786263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427784290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91.16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ITALY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6788547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8732405.635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29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347298321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341329541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-1.72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TURKEY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84725619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214.9687486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-100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864207506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286974380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-66.79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VIETNAM DEM REP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16384609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206467187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THAILAND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16964885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8933622.082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-47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128700201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184811296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43.60</w:t>
            </w:r>
          </w:p>
        </w:tc>
      </w:tr>
      <w:tr w:rsidR="00FE7836" w:rsidRPr="009371B5" w:rsidTr="009916E5">
        <w:trPr>
          <w:trHeight w:val="254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BELGIUM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13672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49108.26254</w:t>
            </w:r>
          </w:p>
        </w:tc>
        <w:tc>
          <w:tcPr>
            <w:tcW w:w="121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259</w:t>
            </w:r>
          </w:p>
        </w:tc>
        <w:tc>
          <w:tcPr>
            <w:tcW w:w="1593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311699</w:t>
            </w:r>
          </w:p>
        </w:tc>
        <w:tc>
          <w:tcPr>
            <w:tcW w:w="1548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175079798</w:t>
            </w:r>
          </w:p>
        </w:tc>
        <w:tc>
          <w:tcPr>
            <w:tcW w:w="1259" w:type="dxa"/>
            <w:vAlign w:val="bottom"/>
          </w:tcPr>
          <w:p w:rsidR="00FE7836" w:rsidRPr="00FE7836" w:rsidRDefault="00FE7836" w:rsidP="00FE7836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FE7836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56069.51</w:t>
            </w:r>
          </w:p>
        </w:tc>
      </w:tr>
    </w:tbl>
    <w:p w:rsidR="00CD6A73" w:rsidRPr="00EC70CF" w:rsidRDefault="00EE6812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</w:t>
      </w:r>
      <w:r w:rsidR="00CD6A73"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 xml:space="preserve"> (Data Source: DGCIS)</w:t>
      </w:r>
    </w:p>
    <w:p w:rsidR="006A0021" w:rsidRPr="00EC70CF" w:rsidRDefault="006A0021" w:rsidP="006A0021">
      <w:pPr>
        <w:spacing w:after="0" w:line="240" w:lineRule="auto"/>
        <w:jc w:val="both"/>
        <w:rPr>
          <w:rFonts w:ascii="Rockwell" w:hAnsi="Rockwell" w:cs="Times New Roman"/>
          <w:b/>
          <w:color w:val="000000" w:themeColor="text1"/>
          <w:sz w:val="14"/>
          <w:szCs w:val="24"/>
          <w:highlight w:val="lightGray"/>
          <w:u w:val="single"/>
        </w:rPr>
      </w:pPr>
    </w:p>
    <w:p w:rsidR="003C2A33" w:rsidRPr="00EC70CF" w:rsidRDefault="003C2A33" w:rsidP="003C2A33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Natural Stones and Products Panel:</w:t>
      </w:r>
    </w:p>
    <w:p w:rsidR="00CD2E04" w:rsidRDefault="003C2A33" w:rsidP="00BE06CC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"Natural Stones and Products"</w:t>
      </w:r>
      <w:r w:rsidR="004C1BBE">
        <w:rPr>
          <w:rFonts w:ascii="Rockwell" w:hAnsi="Rockwell" w:cs="Times New Roman"/>
          <w:b/>
          <w:color w:val="000000" w:themeColor="text1"/>
          <w:sz w:val="24"/>
          <w:szCs w:val="24"/>
        </w:rPr>
        <w:t xml:space="preserve"> </w:t>
      </w:r>
      <w:r w:rsidR="00C1589A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="00C1589A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C1589A"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26115240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350033245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CHINA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34213815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340320866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VIETNAM DEM REP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21663700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201037023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BANGLADESH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8695483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106038569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lastRenderedPageBreak/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11182659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95200463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5929566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4708439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-21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65874785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51654522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-21.59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4492768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47765954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3220689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41122466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POLAND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7976478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5162338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-35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59763168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40799159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-31.73</w:t>
            </w:r>
          </w:p>
        </w:tc>
      </w:tr>
      <w:tr w:rsidR="00C7284D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FRANCE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3627263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3857398</w:t>
            </w:r>
          </w:p>
        </w:tc>
        <w:tc>
          <w:tcPr>
            <w:tcW w:w="1116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</w:t>
            </w:r>
          </w:p>
        </w:tc>
        <w:tc>
          <w:tcPr>
            <w:tcW w:w="160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45263562</w:t>
            </w:r>
          </w:p>
        </w:tc>
        <w:tc>
          <w:tcPr>
            <w:tcW w:w="1570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40590033</w:t>
            </w:r>
          </w:p>
        </w:tc>
        <w:tc>
          <w:tcPr>
            <w:tcW w:w="1241" w:type="dxa"/>
            <w:vAlign w:val="bottom"/>
          </w:tcPr>
          <w:p w:rsidR="00C7284D" w:rsidRPr="00C7284D" w:rsidRDefault="00C7284D" w:rsidP="00C7284D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C7284D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-10.33</w:t>
            </w:r>
          </w:p>
        </w:tc>
      </w:tr>
    </w:tbl>
    <w:p w:rsidR="00B75BAA" w:rsidRPr="00EC70CF" w:rsidRDefault="003C2A33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</w:t>
      </w:r>
      <w:r w:rsidR="003015F5"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 xml:space="preserve"> (Data Source: DGCIS)</w:t>
      </w:r>
    </w:p>
    <w:p w:rsidR="00D4786F" w:rsidRPr="00EC70CF" w:rsidRDefault="00F845D8" w:rsidP="00F845D8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Processed Minerals Panel:</w:t>
      </w:r>
    </w:p>
    <w:p w:rsidR="00D4786F" w:rsidRDefault="00F845D8" w:rsidP="00BE06CC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"Processed Minerals</w:t>
      </w:r>
      <w:r w:rsidR="00C1589A"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</w:t>
      </w:r>
      <w:r w:rsidR="00C1589A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="00C1589A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C1589A"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16453815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222630527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OMAN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13175027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39385122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199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93852427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208080152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121.71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10943450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126814194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14989919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86291282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12238233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81152379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CHINA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10160125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78927353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RUSSIA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155334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21820997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13948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1622208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65982361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3967.44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JAPAN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3010261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2385377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-21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34812783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59881632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72.01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BANGLADESH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5070297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55790358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271D0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ARAB EMIR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13809985</w:t>
            </w:r>
          </w:p>
        </w:tc>
        <w:tc>
          <w:tcPr>
            <w:tcW w:w="1116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55168296</w:t>
            </w:r>
          </w:p>
        </w:tc>
        <w:tc>
          <w:tcPr>
            <w:tcW w:w="1241" w:type="dxa"/>
            <w:vAlign w:val="bottom"/>
          </w:tcPr>
          <w:p w:rsidR="00271D0C" w:rsidRPr="00271D0C" w:rsidRDefault="00271D0C" w:rsidP="00271D0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271D0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</w:tbl>
    <w:p w:rsidR="00B75BAA" w:rsidRPr="00EC70CF" w:rsidRDefault="00D5277C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C4086F" w:rsidRDefault="00C4086F" w:rsidP="006B3A63">
      <w:pPr>
        <w:spacing w:after="0" w:line="240" w:lineRule="auto"/>
        <w:jc w:val="both"/>
        <w:rPr>
          <w:rFonts w:ascii="Rockwell" w:hAnsi="Rockwell" w:cs="Times New Roman"/>
          <w:color w:val="000000" w:themeColor="text1"/>
          <w:sz w:val="12"/>
          <w:szCs w:val="24"/>
          <w:highlight w:val="lightGray"/>
        </w:rPr>
      </w:pPr>
    </w:p>
    <w:p w:rsidR="009371B5" w:rsidRPr="00EC70CF" w:rsidRDefault="009371B5" w:rsidP="006B3A63">
      <w:pPr>
        <w:spacing w:after="0" w:line="240" w:lineRule="auto"/>
        <w:jc w:val="both"/>
        <w:rPr>
          <w:rFonts w:ascii="Rockwell" w:hAnsi="Rockwell" w:cs="Times New Roman"/>
          <w:color w:val="000000" w:themeColor="text1"/>
          <w:sz w:val="12"/>
          <w:szCs w:val="24"/>
          <w:highlight w:val="lightGray"/>
        </w:rPr>
      </w:pPr>
    </w:p>
    <w:p w:rsidR="00F01A0E" w:rsidRPr="00EC70CF" w:rsidRDefault="009F1976" w:rsidP="00F01A0E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Non-Mineral Sector:</w:t>
      </w:r>
    </w:p>
    <w:p w:rsidR="00B75BAA" w:rsidRPr="00EC70CF" w:rsidRDefault="00B245B9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Paper Board and Products Panel:</w:t>
      </w:r>
    </w:p>
    <w:p w:rsidR="00B245B9" w:rsidRDefault="00B245B9" w:rsidP="00B245B9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"Paper Board and Products"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are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29116607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385495212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27904716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364291060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SRI LANKA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13051086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139517065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8809808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134885234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10001916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132980389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BANGLADESH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7467077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105972822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8852116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10507317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104098785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101265132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-2.72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KENYA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11033361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5881568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-47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89883334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75092119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-16.46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NIGERIA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10430358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5856602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-44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116126506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69369960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-40.26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INDONESIA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4538415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3280485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-28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28789662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66258080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130.15</w:t>
            </w:r>
          </w:p>
        </w:tc>
      </w:tr>
    </w:tbl>
    <w:p w:rsidR="00B245B9" w:rsidRPr="00EC70CF" w:rsidRDefault="00B245B9" w:rsidP="00A763D5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B245B9" w:rsidRPr="00EC70CF" w:rsidRDefault="00B245B9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Rubber Products Panel:</w:t>
      </w:r>
    </w:p>
    <w:p w:rsidR="009371B5" w:rsidRDefault="00B245B9" w:rsidP="00B245B9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5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"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Rubber Products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"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39908302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440409653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11902050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10214796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-14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118185812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113747345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-3.76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CHINA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6994460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65003982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NETHERLANDS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5024615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54960738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4838326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52609860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4377890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52385115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BRAZIL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4382351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4349397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46666036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47553185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1.90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AUSTRALIA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2490003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1833176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-26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27440980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46954469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71.11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THAILAND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7109095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2552984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-64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45730250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39728666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-13.12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INDONESIA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2103795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3855171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83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21322985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37604077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76.35</w:t>
            </w:r>
          </w:p>
        </w:tc>
      </w:tr>
    </w:tbl>
    <w:p w:rsidR="00717D84" w:rsidRDefault="00B245B9" w:rsidP="00717D84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lastRenderedPageBreak/>
        <w:t>Value in USD Actual (Data Source: DGCIS)</w:t>
      </w:r>
    </w:p>
    <w:p w:rsidR="00BE06CC" w:rsidRPr="00EC70CF" w:rsidRDefault="00BE06CC" w:rsidP="00BE06CC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Paints Varnishes and Allied Products Panel:</w:t>
      </w:r>
    </w:p>
    <w:p w:rsidR="009916E5" w:rsidRDefault="00BE06CC" w:rsidP="00BE06CC">
      <w:pPr>
        <w:spacing w:after="0" w:line="240" w:lineRule="auto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"Paints Varnishes and Allied Products"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p w:rsidR="00744EAD" w:rsidRDefault="00744EAD" w:rsidP="00BE06CC">
      <w:pPr>
        <w:spacing w:after="0" w:line="240" w:lineRule="auto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7888314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141689213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10021319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104492390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BANGLADESH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8030123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97329184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6826260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6901860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92400717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81107674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-12.22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CHINA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7857487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71123653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6500932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5661219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-13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68979616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64353902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-6.71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NETHERLANDS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3096738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47483230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RUSSIA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2770442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6662758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140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27139978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43655690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60.85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INDONESIA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4587831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5160366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44622388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42801140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-4.08</w:t>
            </w:r>
          </w:p>
        </w:tc>
      </w:tr>
      <w:tr w:rsidR="00B14B1E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TURKEY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3515072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4672088</w:t>
            </w:r>
          </w:p>
        </w:tc>
        <w:tc>
          <w:tcPr>
            <w:tcW w:w="1116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</w:t>
            </w:r>
          </w:p>
        </w:tc>
        <w:tc>
          <w:tcPr>
            <w:tcW w:w="160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40704099</w:t>
            </w:r>
          </w:p>
        </w:tc>
        <w:tc>
          <w:tcPr>
            <w:tcW w:w="1570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39944442</w:t>
            </w:r>
          </w:p>
        </w:tc>
        <w:tc>
          <w:tcPr>
            <w:tcW w:w="1241" w:type="dxa"/>
            <w:vAlign w:val="bottom"/>
          </w:tcPr>
          <w:p w:rsidR="00B14B1E" w:rsidRPr="00B14B1E" w:rsidRDefault="00B14B1E" w:rsidP="00B14B1E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B14B1E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-1.87</w:t>
            </w:r>
          </w:p>
        </w:tc>
      </w:tr>
    </w:tbl>
    <w:p w:rsidR="00A042D1" w:rsidRPr="00EC70CF" w:rsidRDefault="00BE06CC" w:rsidP="00A763D5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 xml:space="preserve">Value in </w:t>
      </w:r>
      <w:r w:rsidR="00A763D5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USD Actual (Data Source: DGCIS</w:t>
      </w:r>
    </w:p>
    <w:p w:rsidR="00B451A9" w:rsidRDefault="00B451A9" w:rsidP="00971930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</w:p>
    <w:p w:rsidR="00971930" w:rsidRPr="00EC70CF" w:rsidRDefault="00971930" w:rsidP="00971930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Plywood and Allied Products Panel:</w:t>
      </w:r>
    </w:p>
    <w:p w:rsidR="00B76A5B" w:rsidRDefault="00971930" w:rsidP="00BE06CC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"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Plywood and Allied Products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"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are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35759132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432900818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10376680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6412231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-38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107334130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78025169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-27.31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NETHERLANDS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6509468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65141300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10379191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64037452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FRANCE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5385787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3358469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-38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61794747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44157757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-28.54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3476069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39347154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2608192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3104205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34341019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32051404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-6.67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CANADA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3776591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2394131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-37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33591313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28435753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-15.35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SPAIN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1582909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3501457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121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19399009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24771673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27.70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AUSTRALIA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2953626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1577947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-47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32715779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24558205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-24.93</w:t>
            </w:r>
          </w:p>
        </w:tc>
      </w:tr>
    </w:tbl>
    <w:p w:rsidR="00CE7853" w:rsidRPr="00EC70CF" w:rsidRDefault="00971930" w:rsidP="00BE06CC">
      <w:pPr>
        <w:jc w:val="center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B245B9" w:rsidRPr="00EC70CF" w:rsidRDefault="00B245B9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Glass and Glassware Panel:</w:t>
      </w:r>
    </w:p>
    <w:p w:rsidR="00B76A5B" w:rsidRDefault="00B245B9" w:rsidP="00B245B9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"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Glass and glassware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"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are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18648092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302941320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5134431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59398301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3485189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3108961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-11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50926699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44052394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-13.50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2549231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3173271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30947956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37465886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21.06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BELGIUM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1465441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2897439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98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16904125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34460014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103.86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SPAIN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1699160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4447177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162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19585481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32457050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65.72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BRAZIL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2257537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2414412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25402667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29627322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16.63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FRANCE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2435001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2863695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27206664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28909926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6.26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1762860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25089854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MEXICO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2402089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1745865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-27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22487797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20353471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-9.49</w:t>
            </w:r>
          </w:p>
        </w:tc>
      </w:tr>
    </w:tbl>
    <w:p w:rsidR="00B245B9" w:rsidRPr="00EC70CF" w:rsidRDefault="00B245B9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B245B9" w:rsidRPr="00EC70CF" w:rsidRDefault="00B245B9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Auto Tyres and Tubes Panel:</w:t>
      </w:r>
    </w:p>
    <w:p w:rsidR="00B76A5B" w:rsidRDefault="00B245B9" w:rsidP="00B245B9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"Auto Tyres and Tubes"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are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lastRenderedPageBreak/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35608666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608789968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BRAZIL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10778377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11944636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147877500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144897727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-2.02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15388921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11625472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-24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180367673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140118519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-22.32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FRANCE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9054374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8805463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93089437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99141135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6.50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NETHERLANDS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5381461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88650946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ITALY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8913771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9360546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86792898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88046674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1.44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6548938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87127938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PHILIPPINES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5391963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5150844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68121090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73685997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8.17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5554751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70430443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7945630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69042161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</w:tbl>
    <w:p w:rsidR="00B245B9" w:rsidRPr="00EC70CF" w:rsidRDefault="00B245B9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1970BE" w:rsidRPr="00EC70CF" w:rsidRDefault="001970BE" w:rsidP="001970BE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Ceramics and Allied Products Panel:</w:t>
      </w:r>
    </w:p>
    <w:p w:rsidR="009916E5" w:rsidRDefault="001970BE" w:rsidP="001970BE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"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Ceramics and Allied Products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" </w:t>
      </w:r>
      <w:r w:rsidR="0092161D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="0092161D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92161D"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21106075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250933382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15579577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146953545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10769452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132266374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IRAQ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7052652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8840777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89042860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106744039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19.88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KUWAIT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4347721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8441261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94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67513298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81486283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20.70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9908244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73183166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OMAN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4397278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6451090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47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56515190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69500269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22.98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6027402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7378536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88598948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65962580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-25.55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JORDAN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7028169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4602173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-35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46719193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64765663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38.63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THAILAND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4641342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5390621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56715839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63252581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11.53</w:t>
            </w:r>
          </w:p>
        </w:tc>
      </w:tr>
    </w:tbl>
    <w:p w:rsidR="001970BE" w:rsidRPr="00EC70CF" w:rsidRDefault="001970BE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971930" w:rsidRPr="00EC70CF" w:rsidRDefault="00971930" w:rsidP="00971930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Cement Clinkers and Asbestos Cement Products Panel:</w:t>
      </w:r>
    </w:p>
    <w:p w:rsidR="008F3657" w:rsidRDefault="00971930" w:rsidP="00971930">
      <w:pPr>
        <w:spacing w:after="0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"Cement Clinkers and Asbestos Cement Products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"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p w:rsidR="005C2687" w:rsidRDefault="005C2687" w:rsidP="00971930">
      <w:pPr>
        <w:spacing w:after="0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28009320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377817198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BANGLADESH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4866638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53827243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SRI LANKA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2294118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24410101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1127289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15427862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1571920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857667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-45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24525476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12583807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-48.69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993705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12228038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MALDIVES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520429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802653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54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3331762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9860317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195.95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780342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8053210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QATAR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289809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384314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5323229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4958330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-6.85</w:t>
            </w:r>
          </w:p>
        </w:tc>
      </w:tr>
      <w:tr w:rsidR="001969DC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CANADA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1289754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484105</w:t>
            </w:r>
          </w:p>
        </w:tc>
        <w:tc>
          <w:tcPr>
            <w:tcW w:w="1116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-62</w:t>
            </w:r>
          </w:p>
        </w:tc>
        <w:tc>
          <w:tcPr>
            <w:tcW w:w="160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7325900</w:t>
            </w:r>
          </w:p>
        </w:tc>
        <w:tc>
          <w:tcPr>
            <w:tcW w:w="1570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4600021</w:t>
            </w:r>
          </w:p>
        </w:tc>
        <w:tc>
          <w:tcPr>
            <w:tcW w:w="1241" w:type="dxa"/>
            <w:vAlign w:val="bottom"/>
          </w:tcPr>
          <w:p w:rsidR="001969DC" w:rsidRPr="001969DC" w:rsidRDefault="001969DC" w:rsidP="001969DC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1969DC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-37.21</w:t>
            </w:r>
          </w:p>
        </w:tc>
      </w:tr>
    </w:tbl>
    <w:p w:rsidR="00CB0079" w:rsidRPr="00EC70CF" w:rsidRDefault="00971930" w:rsidP="00BE06CC">
      <w:pPr>
        <w:spacing w:after="0"/>
        <w:jc w:val="center"/>
        <w:rPr>
          <w:rFonts w:ascii="Rockwell" w:hAnsi="Rockwell" w:cs="Times New Roman"/>
          <w:b/>
          <w:color w:val="000000" w:themeColor="text1"/>
          <w:sz w:val="16"/>
          <w:szCs w:val="24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1728FF" w:rsidRPr="00EC70CF" w:rsidRDefault="001728FF" w:rsidP="001970BE">
      <w:pPr>
        <w:spacing w:after="0"/>
        <w:jc w:val="both"/>
        <w:rPr>
          <w:rFonts w:ascii="Rockwell" w:hAnsi="Rockwell" w:cs="Times New Roman"/>
          <w:b/>
          <w:color w:val="000000" w:themeColor="text1"/>
          <w:sz w:val="16"/>
          <w:szCs w:val="24"/>
        </w:rPr>
      </w:pPr>
    </w:p>
    <w:p w:rsidR="008A5390" w:rsidRPr="00EC70CF" w:rsidRDefault="00B245B9" w:rsidP="00B245B9">
      <w:pPr>
        <w:spacing w:after="0" w:line="240" w:lineRule="auto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Miscellaneous Products Panel:</w:t>
      </w:r>
    </w:p>
    <w:p w:rsidR="006B5286" w:rsidRDefault="00B245B9" w:rsidP="00B245B9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"Miscellaneous Products"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are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5746111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88407846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1026803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21272676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1972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39441523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77352566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96.12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EGYPT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2568505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37920846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TURKEY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2293101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3414266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49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23808181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37329916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56.79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lastRenderedPageBreak/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2385277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30536740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SRI LANKA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544375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28524914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CHINA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2250853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25205711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2434657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23601605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BELGIUM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1954498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1978463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22974970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23145623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0.74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2361066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22815276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</w:tbl>
    <w:p w:rsidR="00B245B9" w:rsidRPr="00EC70CF" w:rsidRDefault="00B245B9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B245B9" w:rsidRPr="00EC70CF" w:rsidRDefault="00B245B9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Graphite Explosives and Accessories Panel:</w:t>
      </w:r>
    </w:p>
    <w:p w:rsidR="009916E5" w:rsidRDefault="00B245B9" w:rsidP="00B245B9">
      <w:pPr>
        <w:spacing w:line="240" w:lineRule="auto"/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"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Graphite Explosives and Accessories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"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are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SAUDI ARABIA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2387998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78994273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4178869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58985143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QATAR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663665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17133042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2482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15943153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46414868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663665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AUSTRALIA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2221967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19542194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779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5275522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41735806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2221967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EGYPT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3813086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36208843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SOUTH AFRICA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1565675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221398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-86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12903902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34060778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1565675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TURKEY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1662701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2635415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59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34455548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29729529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1662701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MOZAMBIQUE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188069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537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-100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576291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22152184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188069</w:t>
            </w:r>
          </w:p>
        </w:tc>
      </w:tr>
      <w:tr w:rsidR="007E7219" w:rsidRPr="00EC70CF" w:rsidTr="007E7219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2009685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420030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-79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26826378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14406193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2009685</w:t>
            </w:r>
          </w:p>
        </w:tc>
      </w:tr>
      <w:tr w:rsidR="007E7219" w:rsidRPr="00EC70CF" w:rsidTr="007E7219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KOREA, REPULIC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1181154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14079038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</w:tbl>
    <w:p w:rsidR="00B245B9" w:rsidRPr="00EC70CF" w:rsidRDefault="00B245B9" w:rsidP="00BE06CC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B245B9" w:rsidRPr="00EC70CF" w:rsidRDefault="00B245B9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Books, Publications &amp; Printing Panel:</w:t>
      </w:r>
    </w:p>
    <w:p w:rsidR="00B245B9" w:rsidRDefault="00B245B9" w:rsidP="00B245B9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"Books, Publications &amp; Printing"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are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7325682.73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94369403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2262422.395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25671312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GHANA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1479055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737446.5758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-50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21961044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19221865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-12.47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3444282.066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13083532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IVORY COAST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12842.46849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11677309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NETHERLANDS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1804917.083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11515145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NIGERIA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897531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678716.4727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-24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11678924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11505367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-1.49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TANZANIA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291210.8235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10205188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DJIBOUTI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19.31700845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1616692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7996841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394.64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BRAZIL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655867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1437683.73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119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4221516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6895809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63.35</w:t>
            </w:r>
          </w:p>
        </w:tc>
      </w:tr>
    </w:tbl>
    <w:p w:rsidR="0097365F" w:rsidRPr="00EC70CF" w:rsidRDefault="00B245B9" w:rsidP="0097365F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934E38" w:rsidRPr="009B25E3" w:rsidRDefault="00934E38" w:rsidP="00BE06CC">
      <w:pPr>
        <w:spacing w:after="0"/>
        <w:jc w:val="both"/>
        <w:rPr>
          <w:rFonts w:ascii="Rockwell" w:hAnsi="Rockwell" w:cs="Times New Roman"/>
          <w:b/>
          <w:color w:val="000000" w:themeColor="text1"/>
          <w:sz w:val="8"/>
          <w:szCs w:val="24"/>
          <w:highlight w:val="lightGray"/>
          <w:u w:val="single"/>
        </w:rPr>
      </w:pPr>
    </w:p>
    <w:p w:rsidR="00BE06CC" w:rsidRPr="00EC70CF" w:rsidRDefault="00BE06CC" w:rsidP="00BE06CC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Animal By Product Panel:</w:t>
      </w:r>
    </w:p>
    <w:p w:rsidR="006B5286" w:rsidRDefault="00BE06CC" w:rsidP="00BE06CC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 xml:space="preserve">"Animal By Product"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11386696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121405792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GERMANY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2985988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2476703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-17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26485109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28010178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5.76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BANGLADESH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881222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15634638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NETHERLANDS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1647556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14287055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ITALY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1328127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1278817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8485514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12860996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51.56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1133050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10859580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ALGERIA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273092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11439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-96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1644477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8390328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410.21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THAILAND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605287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337787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-44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9515301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6812859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-28.40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SPAIN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333680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1261172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278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5373414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6403000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19.16</w:t>
            </w:r>
          </w:p>
        </w:tc>
      </w:tr>
      <w:tr w:rsidR="007E7219" w:rsidRPr="00EC70CF" w:rsidTr="009916E5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BRAZIL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193953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339161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75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4907005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5825832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18.72</w:t>
            </w:r>
          </w:p>
        </w:tc>
      </w:tr>
    </w:tbl>
    <w:p w:rsidR="00924343" w:rsidRPr="00EC70CF" w:rsidRDefault="00BE06CC" w:rsidP="00924343">
      <w:pPr>
        <w:spacing w:after="0"/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934E38" w:rsidRPr="009B25E3" w:rsidRDefault="00934E38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8"/>
          <w:szCs w:val="24"/>
        </w:rPr>
      </w:pPr>
    </w:p>
    <w:p w:rsidR="00B245B9" w:rsidRPr="00EC70CF" w:rsidRDefault="00A763D5" w:rsidP="00B245B9">
      <w:pPr>
        <w:spacing w:after="0"/>
        <w:jc w:val="both"/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</w:pPr>
      <w:r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lastRenderedPageBreak/>
        <w:t>Ossein and gelatine</w:t>
      </w:r>
      <w:r w:rsidR="00B245B9"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 xml:space="preserve"> Panel of </w:t>
      </w:r>
      <w:r w:rsidR="00AA7AB7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  <w:u w:val="single"/>
        </w:rPr>
        <w:t>CAPEXIL</w:t>
      </w:r>
      <w:r w:rsidR="00B245B9" w:rsidRPr="00EC70CF">
        <w:rPr>
          <w:rFonts w:ascii="Rockwell" w:hAnsi="Rockwell" w:cs="Times New Roman"/>
          <w:b/>
          <w:color w:val="000000" w:themeColor="text1"/>
          <w:sz w:val="24"/>
          <w:szCs w:val="24"/>
          <w:highlight w:val="lightGray"/>
        </w:rPr>
        <w:t>:</w:t>
      </w:r>
    </w:p>
    <w:p w:rsidR="006B5286" w:rsidRDefault="00B245B9" w:rsidP="00BE06CC">
      <w:pPr>
        <w:jc w:val="both"/>
        <w:rPr>
          <w:rFonts w:ascii="Rockwell" w:hAnsi="Rockwell" w:cs="Times New Roman"/>
          <w:color w:val="000000" w:themeColor="text1"/>
          <w:sz w:val="24"/>
          <w:szCs w:val="24"/>
        </w:rPr>
      </w:pP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Top 10 countries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</w:t>
      </w:r>
      <w:r w:rsidRPr="00EC70CF">
        <w:rPr>
          <w:rFonts w:ascii="Rockwell" w:hAnsi="Rockwell" w:cs="Times New Roman"/>
          <w:b/>
          <w:color w:val="000000" w:themeColor="text1"/>
          <w:sz w:val="24"/>
          <w:szCs w:val="24"/>
        </w:rPr>
        <w:t>"Ossein and gelatine"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panel, in terms of export amount in USD Value under the purview of </w:t>
      </w:r>
      <w:r w:rsidR="00AA7AB7">
        <w:rPr>
          <w:rFonts w:ascii="Rockwell" w:hAnsi="Rockwell" w:cs="Times New Roman"/>
          <w:color w:val="000000" w:themeColor="text1"/>
          <w:sz w:val="24"/>
          <w:szCs w:val="24"/>
        </w:rPr>
        <w:t>CAPEXIL</w:t>
      </w:r>
      <w:r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for the month of </w:t>
      </w:r>
      <w:r w:rsidR="00030829">
        <w:rPr>
          <w:rFonts w:ascii="Rockwell" w:hAnsi="Rockwell" w:cs="Times New Roman"/>
          <w:color w:val="000000" w:themeColor="text1"/>
          <w:sz w:val="24"/>
          <w:szCs w:val="24"/>
        </w:rPr>
        <w:t>APR</w:t>
      </w:r>
      <w:r w:rsidR="00744EAD">
        <w:rPr>
          <w:rFonts w:ascii="Rockwell" w:hAnsi="Rockwell" w:cs="Times New Roman"/>
          <w:color w:val="000000" w:themeColor="text1"/>
          <w:sz w:val="24"/>
          <w:szCs w:val="24"/>
        </w:rPr>
        <w:t>IL</w:t>
      </w:r>
      <w:r w:rsidR="00A763D5">
        <w:rPr>
          <w:rFonts w:ascii="Rockwell" w:hAnsi="Rockwell" w:cs="Times New Roman"/>
          <w:color w:val="000000" w:themeColor="text1"/>
          <w:sz w:val="24"/>
          <w:szCs w:val="24"/>
        </w:rPr>
        <w:t>-</w:t>
      </w:r>
      <w:r w:rsidR="009C6957">
        <w:rPr>
          <w:rFonts w:ascii="Rockwell" w:hAnsi="Rockwell" w:cs="Times New Roman"/>
          <w:color w:val="000000" w:themeColor="text1"/>
          <w:sz w:val="24"/>
          <w:szCs w:val="24"/>
        </w:rPr>
        <w:t>FEBRUARY</w:t>
      </w:r>
      <w:r w:rsidR="006B4505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583363">
        <w:rPr>
          <w:rFonts w:ascii="Rockwell" w:hAnsi="Rockwell" w:cs="Times New Roman"/>
          <w:color w:val="000000" w:themeColor="text1"/>
          <w:sz w:val="24"/>
          <w:szCs w:val="24"/>
        </w:rPr>
        <w:t>2023</w:t>
      </w:r>
      <w:r w:rsidR="00C478CB" w:rsidRPr="00EC70CF">
        <w:rPr>
          <w:rFonts w:ascii="Rockwell" w:hAnsi="Rockwell" w:cs="Times New Roman"/>
          <w:color w:val="000000" w:themeColor="text1"/>
          <w:sz w:val="24"/>
          <w:szCs w:val="24"/>
        </w:rPr>
        <w:t xml:space="preserve"> </w:t>
      </w:r>
      <w:r w:rsidR="00BE06CC" w:rsidRPr="00EC70CF">
        <w:rPr>
          <w:rFonts w:ascii="Rockwell" w:hAnsi="Rockwell" w:cs="Times New Roman"/>
          <w:color w:val="000000" w:themeColor="text1"/>
          <w:sz w:val="24"/>
          <w:szCs w:val="24"/>
        </w:rPr>
        <w:t>are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31"/>
        <w:gridCol w:w="1359"/>
        <w:gridCol w:w="1116"/>
        <w:gridCol w:w="1600"/>
        <w:gridCol w:w="1570"/>
        <w:gridCol w:w="1241"/>
      </w:tblGrid>
      <w:tr w:rsidR="00744EAD" w:rsidRPr="00EC70CF" w:rsidTr="00744EAD">
        <w:trPr>
          <w:trHeight w:val="310"/>
          <w:jc w:val="center"/>
        </w:trPr>
        <w:tc>
          <w:tcPr>
            <w:tcW w:w="2215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744EAD" w:rsidP="00744EAD">
            <w:pPr>
              <w:spacing w:after="0" w:line="240" w:lineRule="auto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COUNTRY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359" w:type="dxa"/>
            <w:shd w:val="clear" w:color="auto" w:fill="8DB3E2" w:themeFill="text2" w:themeFillTint="66"/>
            <w:vAlign w:val="center"/>
            <w:hideMark/>
          </w:tcPr>
          <w:p w:rsidR="00744EAD" w:rsidRPr="00EC70CF" w:rsidRDefault="009C6957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116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</w:tcPr>
          <w:p w:rsidR="00744EAD" w:rsidRPr="00EC70CF" w:rsidRDefault="00030829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APR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-</w:t>
            </w:r>
            <w:r w:rsidR="009C6957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FEB</w:t>
            </w:r>
            <w:r w:rsidR="00FA79D4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  <w:r w:rsidR="00744EAD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583363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2023</w:t>
            </w:r>
          </w:p>
        </w:tc>
        <w:tc>
          <w:tcPr>
            <w:tcW w:w="1241" w:type="dxa"/>
            <w:shd w:val="clear" w:color="auto" w:fill="8DB3E2" w:themeFill="text2" w:themeFillTint="66"/>
            <w:vAlign w:val="center"/>
          </w:tcPr>
          <w:p w:rsidR="00744EAD" w:rsidRPr="00EC70CF" w:rsidRDefault="00744EAD" w:rsidP="00744EAD">
            <w:pPr>
              <w:spacing w:after="0"/>
              <w:jc w:val="center"/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EC70CF">
              <w:rPr>
                <w:rFonts w:ascii="Rockwell" w:eastAsia="Times New Roman" w:hAnsi="Rockwell" w:cs="Tahoma"/>
                <w:b/>
                <w:bCs/>
                <w:color w:val="000000" w:themeColor="text1"/>
                <w:sz w:val="18"/>
                <w:szCs w:val="20"/>
                <w:lang w:val="en-US"/>
              </w:rPr>
              <w:t>Growth %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JAPAN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1887583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1776750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-6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16119006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20687509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28.34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INDONESIA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1033042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1561172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51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12234393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12151782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-0.68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STATES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1026926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11819557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KOREA, REPULIC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152068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6111616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UNITED KINGDOM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360992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1775864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BELGIUM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158541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183442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3853608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1742650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-54.78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VIETNAM DEM REP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217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1688429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ITALY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 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7627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1670478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21802.16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RUSSIA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971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199236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20419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1881012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1540752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-18.09</w:t>
            </w:r>
          </w:p>
        </w:tc>
      </w:tr>
      <w:tr w:rsidR="007E7219" w:rsidRPr="00EC70CF" w:rsidTr="00DF50DA">
        <w:trPr>
          <w:trHeight w:val="252"/>
          <w:jc w:val="center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PHILIPPINES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5401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32</w:t>
            </w:r>
          </w:p>
        </w:tc>
        <w:tc>
          <w:tcPr>
            <w:tcW w:w="1116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-99</w:t>
            </w:r>
          </w:p>
        </w:tc>
        <w:tc>
          <w:tcPr>
            <w:tcW w:w="160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563135</w:t>
            </w:r>
          </w:p>
        </w:tc>
        <w:tc>
          <w:tcPr>
            <w:tcW w:w="1570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1304676</w:t>
            </w:r>
          </w:p>
        </w:tc>
        <w:tc>
          <w:tcPr>
            <w:tcW w:w="1241" w:type="dxa"/>
            <w:vAlign w:val="bottom"/>
          </w:tcPr>
          <w:p w:rsidR="007E7219" w:rsidRPr="007E7219" w:rsidRDefault="007E7219" w:rsidP="007E7219">
            <w:pPr>
              <w:spacing w:after="0" w:line="240" w:lineRule="auto"/>
              <w:jc w:val="right"/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</w:pPr>
            <w:r w:rsidRPr="007E7219">
              <w:rPr>
                <w:rFonts w:ascii="Rockwell" w:eastAsia="Times New Roman" w:hAnsi="Rockwell" w:cs="Tahoma"/>
                <w:color w:val="000000" w:themeColor="text1"/>
                <w:sz w:val="16"/>
                <w:szCs w:val="20"/>
                <w:lang w:val="en-US"/>
              </w:rPr>
              <w:t>131.68</w:t>
            </w:r>
          </w:p>
        </w:tc>
      </w:tr>
    </w:tbl>
    <w:p w:rsidR="00DD49F4" w:rsidRPr="00EC25A3" w:rsidRDefault="00B245B9" w:rsidP="00EC25A3">
      <w:pPr>
        <w:jc w:val="center"/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</w:pPr>
      <w:r w:rsidRPr="00EC70CF">
        <w:rPr>
          <w:rFonts w:ascii="Rockwell" w:hAnsi="Rockwell" w:cs="Times New Roman"/>
          <w:color w:val="000000" w:themeColor="text1"/>
          <w:sz w:val="24"/>
          <w:szCs w:val="24"/>
          <w:vertAlign w:val="superscript"/>
        </w:rPr>
        <w:t>Value in USD Actual (Data Source: DGCIS)</w:t>
      </w:r>
    </w:p>
    <w:p w:rsidR="00CA1AD8" w:rsidRPr="00EC70CF" w:rsidRDefault="00406184" w:rsidP="005176DD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Rockwell" w:hAnsi="Rockwell" w:cs="Times New Roman"/>
          <w:color w:val="000000" w:themeColor="text1"/>
        </w:rPr>
      </w:pPr>
      <w:r w:rsidRPr="00406184">
        <w:rPr>
          <w:rFonts w:ascii="Rockwell" w:hAnsi="Rockwell" w:cs="Times New Roman"/>
          <w:b/>
          <w:color w:val="000000" w:themeColor="text1"/>
          <w:sz w:val="24"/>
          <w:szCs w:val="24"/>
        </w:rPr>
        <w:t>***********</w:t>
      </w:r>
    </w:p>
    <w:sectPr w:rsidR="00CA1AD8" w:rsidRPr="00EC70CF" w:rsidSect="00B97E95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18" w:rsidRDefault="00856718" w:rsidP="00D23FD3">
      <w:pPr>
        <w:spacing w:after="0" w:line="240" w:lineRule="auto"/>
      </w:pPr>
      <w:r>
        <w:separator/>
      </w:r>
    </w:p>
  </w:endnote>
  <w:endnote w:type="continuationSeparator" w:id="0">
    <w:p w:rsidR="00856718" w:rsidRDefault="00856718" w:rsidP="00D2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18" w:rsidRDefault="00856718" w:rsidP="00D23FD3">
      <w:pPr>
        <w:spacing w:after="0" w:line="240" w:lineRule="auto"/>
      </w:pPr>
      <w:r>
        <w:separator/>
      </w:r>
    </w:p>
  </w:footnote>
  <w:footnote w:type="continuationSeparator" w:id="0">
    <w:p w:rsidR="00856718" w:rsidRDefault="00856718" w:rsidP="00D2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9DF"/>
    <w:multiLevelType w:val="hybridMultilevel"/>
    <w:tmpl w:val="CB46B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04D7"/>
    <w:multiLevelType w:val="hybridMultilevel"/>
    <w:tmpl w:val="FBCC8968"/>
    <w:lvl w:ilvl="0" w:tplc="CBAE79C6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45525"/>
    <w:multiLevelType w:val="hybridMultilevel"/>
    <w:tmpl w:val="823A5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1995"/>
    <w:multiLevelType w:val="hybridMultilevel"/>
    <w:tmpl w:val="2A767CC0"/>
    <w:lvl w:ilvl="0" w:tplc="50D43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F6D1B"/>
    <w:multiLevelType w:val="hybridMultilevel"/>
    <w:tmpl w:val="558A15CE"/>
    <w:lvl w:ilvl="0" w:tplc="6DCCB85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3AAD"/>
    <w:multiLevelType w:val="hybridMultilevel"/>
    <w:tmpl w:val="8D3EF7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A5A06"/>
    <w:multiLevelType w:val="hybridMultilevel"/>
    <w:tmpl w:val="3BFA5B12"/>
    <w:lvl w:ilvl="0" w:tplc="4956C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7BE6"/>
    <w:multiLevelType w:val="hybridMultilevel"/>
    <w:tmpl w:val="16D07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40926"/>
    <w:multiLevelType w:val="multilevel"/>
    <w:tmpl w:val="C98C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87269"/>
    <w:multiLevelType w:val="hybridMultilevel"/>
    <w:tmpl w:val="E0DC0130"/>
    <w:lvl w:ilvl="0" w:tplc="E772B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93413"/>
    <w:multiLevelType w:val="hybridMultilevel"/>
    <w:tmpl w:val="0CC8C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F4213"/>
    <w:multiLevelType w:val="hybridMultilevel"/>
    <w:tmpl w:val="1AF8ED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86547"/>
    <w:multiLevelType w:val="hybridMultilevel"/>
    <w:tmpl w:val="3C04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74099"/>
    <w:multiLevelType w:val="hybridMultilevel"/>
    <w:tmpl w:val="42343442"/>
    <w:lvl w:ilvl="0" w:tplc="C6C034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80610"/>
    <w:multiLevelType w:val="hybridMultilevel"/>
    <w:tmpl w:val="C4FC8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36BD4"/>
    <w:multiLevelType w:val="hybridMultilevel"/>
    <w:tmpl w:val="EB12D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BCE"/>
    <w:multiLevelType w:val="hybridMultilevel"/>
    <w:tmpl w:val="311420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47384"/>
    <w:multiLevelType w:val="hybridMultilevel"/>
    <w:tmpl w:val="7C88F8BE"/>
    <w:lvl w:ilvl="0" w:tplc="7842DE4A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04691E"/>
    <w:multiLevelType w:val="hybridMultilevel"/>
    <w:tmpl w:val="2378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87626"/>
    <w:multiLevelType w:val="hybridMultilevel"/>
    <w:tmpl w:val="9E967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834F8"/>
    <w:multiLevelType w:val="multilevel"/>
    <w:tmpl w:val="9B30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021AF"/>
    <w:multiLevelType w:val="hybridMultilevel"/>
    <w:tmpl w:val="D736D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4"/>
  </w:num>
  <w:num w:numId="5">
    <w:abstractNumId w:val="13"/>
  </w:num>
  <w:num w:numId="6">
    <w:abstractNumId w:val="12"/>
  </w:num>
  <w:num w:numId="7">
    <w:abstractNumId w:val="15"/>
  </w:num>
  <w:num w:numId="8">
    <w:abstractNumId w:val="9"/>
  </w:num>
  <w:num w:numId="9">
    <w:abstractNumId w:val="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7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76"/>
    <w:rsid w:val="000006AB"/>
    <w:rsid w:val="00000B73"/>
    <w:rsid w:val="000021DC"/>
    <w:rsid w:val="00004F92"/>
    <w:rsid w:val="00005D95"/>
    <w:rsid w:val="00005E68"/>
    <w:rsid w:val="000065A3"/>
    <w:rsid w:val="000074E3"/>
    <w:rsid w:val="00010C07"/>
    <w:rsid w:val="00010C5B"/>
    <w:rsid w:val="000128EA"/>
    <w:rsid w:val="00013306"/>
    <w:rsid w:val="00015FAA"/>
    <w:rsid w:val="00016770"/>
    <w:rsid w:val="00020C82"/>
    <w:rsid w:val="00021712"/>
    <w:rsid w:val="00022CF6"/>
    <w:rsid w:val="00022D44"/>
    <w:rsid w:val="000234FC"/>
    <w:rsid w:val="000244F0"/>
    <w:rsid w:val="000246A5"/>
    <w:rsid w:val="00027F38"/>
    <w:rsid w:val="00030357"/>
    <w:rsid w:val="00030829"/>
    <w:rsid w:val="0003156A"/>
    <w:rsid w:val="000325A4"/>
    <w:rsid w:val="00032F5D"/>
    <w:rsid w:val="00033672"/>
    <w:rsid w:val="00036590"/>
    <w:rsid w:val="00036859"/>
    <w:rsid w:val="0004196E"/>
    <w:rsid w:val="00041A59"/>
    <w:rsid w:val="00041C9A"/>
    <w:rsid w:val="0004417B"/>
    <w:rsid w:val="00044611"/>
    <w:rsid w:val="00044659"/>
    <w:rsid w:val="0004564B"/>
    <w:rsid w:val="000462F8"/>
    <w:rsid w:val="00050045"/>
    <w:rsid w:val="000505F7"/>
    <w:rsid w:val="00051141"/>
    <w:rsid w:val="00053480"/>
    <w:rsid w:val="0005376D"/>
    <w:rsid w:val="00053E65"/>
    <w:rsid w:val="00054FDD"/>
    <w:rsid w:val="00055690"/>
    <w:rsid w:val="000563EB"/>
    <w:rsid w:val="000565F2"/>
    <w:rsid w:val="00060484"/>
    <w:rsid w:val="00060A26"/>
    <w:rsid w:val="000620A6"/>
    <w:rsid w:val="000638DF"/>
    <w:rsid w:val="00064C42"/>
    <w:rsid w:val="0006541D"/>
    <w:rsid w:val="000657D5"/>
    <w:rsid w:val="00065B08"/>
    <w:rsid w:val="000672EE"/>
    <w:rsid w:val="000701FD"/>
    <w:rsid w:val="00070C87"/>
    <w:rsid w:val="00072198"/>
    <w:rsid w:val="000723E4"/>
    <w:rsid w:val="000747C1"/>
    <w:rsid w:val="00074906"/>
    <w:rsid w:val="000749E0"/>
    <w:rsid w:val="00074C9F"/>
    <w:rsid w:val="000750DF"/>
    <w:rsid w:val="00076508"/>
    <w:rsid w:val="00076718"/>
    <w:rsid w:val="00077023"/>
    <w:rsid w:val="00081775"/>
    <w:rsid w:val="00081866"/>
    <w:rsid w:val="00081EB7"/>
    <w:rsid w:val="00084C67"/>
    <w:rsid w:val="00084E39"/>
    <w:rsid w:val="00085BA3"/>
    <w:rsid w:val="000863C9"/>
    <w:rsid w:val="00086CE0"/>
    <w:rsid w:val="00091F0B"/>
    <w:rsid w:val="00095076"/>
    <w:rsid w:val="0009553C"/>
    <w:rsid w:val="00097073"/>
    <w:rsid w:val="000977F3"/>
    <w:rsid w:val="00097DCA"/>
    <w:rsid w:val="000A006C"/>
    <w:rsid w:val="000A0302"/>
    <w:rsid w:val="000A0947"/>
    <w:rsid w:val="000A0B10"/>
    <w:rsid w:val="000A1DBE"/>
    <w:rsid w:val="000A3331"/>
    <w:rsid w:val="000A4DAA"/>
    <w:rsid w:val="000A4DB2"/>
    <w:rsid w:val="000A52DF"/>
    <w:rsid w:val="000A52F2"/>
    <w:rsid w:val="000A5A77"/>
    <w:rsid w:val="000A68E5"/>
    <w:rsid w:val="000B1396"/>
    <w:rsid w:val="000B2B5E"/>
    <w:rsid w:val="000B2E01"/>
    <w:rsid w:val="000B42AD"/>
    <w:rsid w:val="000B5C03"/>
    <w:rsid w:val="000B6178"/>
    <w:rsid w:val="000B66EE"/>
    <w:rsid w:val="000B6BD7"/>
    <w:rsid w:val="000B6D31"/>
    <w:rsid w:val="000B782E"/>
    <w:rsid w:val="000B7D65"/>
    <w:rsid w:val="000C07FE"/>
    <w:rsid w:val="000C26F8"/>
    <w:rsid w:val="000C36F2"/>
    <w:rsid w:val="000C3BD9"/>
    <w:rsid w:val="000C5899"/>
    <w:rsid w:val="000C5F44"/>
    <w:rsid w:val="000C75EE"/>
    <w:rsid w:val="000C7B3A"/>
    <w:rsid w:val="000C7FC0"/>
    <w:rsid w:val="000D0316"/>
    <w:rsid w:val="000D1013"/>
    <w:rsid w:val="000D2021"/>
    <w:rsid w:val="000D282E"/>
    <w:rsid w:val="000D63E9"/>
    <w:rsid w:val="000E1628"/>
    <w:rsid w:val="000E27AC"/>
    <w:rsid w:val="000E485C"/>
    <w:rsid w:val="000E5058"/>
    <w:rsid w:val="000E5476"/>
    <w:rsid w:val="000E7000"/>
    <w:rsid w:val="000E713A"/>
    <w:rsid w:val="000F03EF"/>
    <w:rsid w:val="000F04A7"/>
    <w:rsid w:val="000F04C7"/>
    <w:rsid w:val="000F07A0"/>
    <w:rsid w:val="000F0A9E"/>
    <w:rsid w:val="000F2FE0"/>
    <w:rsid w:val="000F41B1"/>
    <w:rsid w:val="000F459B"/>
    <w:rsid w:val="00102C05"/>
    <w:rsid w:val="00103A5D"/>
    <w:rsid w:val="00103B3C"/>
    <w:rsid w:val="00104522"/>
    <w:rsid w:val="0010489B"/>
    <w:rsid w:val="00105770"/>
    <w:rsid w:val="00107576"/>
    <w:rsid w:val="00110370"/>
    <w:rsid w:val="001124F8"/>
    <w:rsid w:val="001128C6"/>
    <w:rsid w:val="00112BF2"/>
    <w:rsid w:val="001141CA"/>
    <w:rsid w:val="00114A44"/>
    <w:rsid w:val="00114B71"/>
    <w:rsid w:val="00115815"/>
    <w:rsid w:val="00115A54"/>
    <w:rsid w:val="00120E73"/>
    <w:rsid w:val="0012182C"/>
    <w:rsid w:val="00122738"/>
    <w:rsid w:val="00122A37"/>
    <w:rsid w:val="00123157"/>
    <w:rsid w:val="00126386"/>
    <w:rsid w:val="00127B21"/>
    <w:rsid w:val="001308A7"/>
    <w:rsid w:val="001309FF"/>
    <w:rsid w:val="00130BE1"/>
    <w:rsid w:val="0013204C"/>
    <w:rsid w:val="0013317A"/>
    <w:rsid w:val="001337FD"/>
    <w:rsid w:val="0013383B"/>
    <w:rsid w:val="001349A2"/>
    <w:rsid w:val="00134F91"/>
    <w:rsid w:val="001354F3"/>
    <w:rsid w:val="00136AF0"/>
    <w:rsid w:val="00136DBD"/>
    <w:rsid w:val="0014327E"/>
    <w:rsid w:val="00143884"/>
    <w:rsid w:val="00143AF9"/>
    <w:rsid w:val="00143B24"/>
    <w:rsid w:val="00143C10"/>
    <w:rsid w:val="001449A1"/>
    <w:rsid w:val="001457A8"/>
    <w:rsid w:val="00146DFD"/>
    <w:rsid w:val="001478EC"/>
    <w:rsid w:val="001479A6"/>
    <w:rsid w:val="00150125"/>
    <w:rsid w:val="00153BB2"/>
    <w:rsid w:val="00157D5D"/>
    <w:rsid w:val="0016017D"/>
    <w:rsid w:val="00160F7D"/>
    <w:rsid w:val="001618E7"/>
    <w:rsid w:val="00162022"/>
    <w:rsid w:val="001637E6"/>
    <w:rsid w:val="001641D4"/>
    <w:rsid w:val="0017083A"/>
    <w:rsid w:val="001726DC"/>
    <w:rsid w:val="001728FF"/>
    <w:rsid w:val="00172BA2"/>
    <w:rsid w:val="00173258"/>
    <w:rsid w:val="001733DE"/>
    <w:rsid w:val="0017382D"/>
    <w:rsid w:val="00173EC0"/>
    <w:rsid w:val="00174906"/>
    <w:rsid w:val="001756F7"/>
    <w:rsid w:val="00180808"/>
    <w:rsid w:val="00183341"/>
    <w:rsid w:val="00185857"/>
    <w:rsid w:val="00185B34"/>
    <w:rsid w:val="0019018D"/>
    <w:rsid w:val="00190EB2"/>
    <w:rsid w:val="001910A6"/>
    <w:rsid w:val="001915EE"/>
    <w:rsid w:val="001922EB"/>
    <w:rsid w:val="001924A7"/>
    <w:rsid w:val="00192B09"/>
    <w:rsid w:val="001932DA"/>
    <w:rsid w:val="001938B2"/>
    <w:rsid w:val="001942B4"/>
    <w:rsid w:val="00195285"/>
    <w:rsid w:val="0019530C"/>
    <w:rsid w:val="001969DC"/>
    <w:rsid w:val="001970BE"/>
    <w:rsid w:val="00197544"/>
    <w:rsid w:val="00197B32"/>
    <w:rsid w:val="00197CFF"/>
    <w:rsid w:val="001A03B6"/>
    <w:rsid w:val="001A2FAC"/>
    <w:rsid w:val="001A3270"/>
    <w:rsid w:val="001A480A"/>
    <w:rsid w:val="001A4A55"/>
    <w:rsid w:val="001A777A"/>
    <w:rsid w:val="001A7C3B"/>
    <w:rsid w:val="001B0DBF"/>
    <w:rsid w:val="001B1142"/>
    <w:rsid w:val="001B116A"/>
    <w:rsid w:val="001B150F"/>
    <w:rsid w:val="001B1F98"/>
    <w:rsid w:val="001B2E53"/>
    <w:rsid w:val="001B3F17"/>
    <w:rsid w:val="001B512C"/>
    <w:rsid w:val="001B5729"/>
    <w:rsid w:val="001B6033"/>
    <w:rsid w:val="001B67F0"/>
    <w:rsid w:val="001C084F"/>
    <w:rsid w:val="001C19A6"/>
    <w:rsid w:val="001C3698"/>
    <w:rsid w:val="001C542B"/>
    <w:rsid w:val="001C5A6C"/>
    <w:rsid w:val="001C76E3"/>
    <w:rsid w:val="001C780A"/>
    <w:rsid w:val="001D001F"/>
    <w:rsid w:val="001D3317"/>
    <w:rsid w:val="001D635A"/>
    <w:rsid w:val="001D6F47"/>
    <w:rsid w:val="001D6F9F"/>
    <w:rsid w:val="001D798C"/>
    <w:rsid w:val="001D7B86"/>
    <w:rsid w:val="001D7EF5"/>
    <w:rsid w:val="001E06D2"/>
    <w:rsid w:val="001E10FE"/>
    <w:rsid w:val="001E2253"/>
    <w:rsid w:val="001E2A33"/>
    <w:rsid w:val="001E566F"/>
    <w:rsid w:val="001E5F23"/>
    <w:rsid w:val="001E6144"/>
    <w:rsid w:val="001E7FC5"/>
    <w:rsid w:val="001F2A2A"/>
    <w:rsid w:val="001F3246"/>
    <w:rsid w:val="001F3729"/>
    <w:rsid w:val="001F5EFF"/>
    <w:rsid w:val="001F7233"/>
    <w:rsid w:val="002002ED"/>
    <w:rsid w:val="002022AF"/>
    <w:rsid w:val="00202EA7"/>
    <w:rsid w:val="00204DF6"/>
    <w:rsid w:val="00205594"/>
    <w:rsid w:val="00205EDC"/>
    <w:rsid w:val="0020643E"/>
    <w:rsid w:val="002106FD"/>
    <w:rsid w:val="002118CF"/>
    <w:rsid w:val="0021251E"/>
    <w:rsid w:val="00212643"/>
    <w:rsid w:val="00212CE8"/>
    <w:rsid w:val="00213368"/>
    <w:rsid w:val="00213799"/>
    <w:rsid w:val="002149E2"/>
    <w:rsid w:val="00214D25"/>
    <w:rsid w:val="00215829"/>
    <w:rsid w:val="002159B4"/>
    <w:rsid w:val="00224D68"/>
    <w:rsid w:val="00224FFC"/>
    <w:rsid w:val="0022624D"/>
    <w:rsid w:val="00226B36"/>
    <w:rsid w:val="0023000C"/>
    <w:rsid w:val="002312D2"/>
    <w:rsid w:val="0023364A"/>
    <w:rsid w:val="00233701"/>
    <w:rsid w:val="00233C27"/>
    <w:rsid w:val="00235FD5"/>
    <w:rsid w:val="00236A67"/>
    <w:rsid w:val="00240CE0"/>
    <w:rsid w:val="00240E60"/>
    <w:rsid w:val="002419BB"/>
    <w:rsid w:val="002424EB"/>
    <w:rsid w:val="002436AD"/>
    <w:rsid w:val="00244345"/>
    <w:rsid w:val="0024477F"/>
    <w:rsid w:val="002452F8"/>
    <w:rsid w:val="00246109"/>
    <w:rsid w:val="002469ED"/>
    <w:rsid w:val="00247363"/>
    <w:rsid w:val="0025076C"/>
    <w:rsid w:val="00252296"/>
    <w:rsid w:val="00252DBE"/>
    <w:rsid w:val="00254DCC"/>
    <w:rsid w:val="002569A8"/>
    <w:rsid w:val="00257BF9"/>
    <w:rsid w:val="0026029B"/>
    <w:rsid w:val="00261315"/>
    <w:rsid w:val="00262E30"/>
    <w:rsid w:val="0026322E"/>
    <w:rsid w:val="00264401"/>
    <w:rsid w:val="00264560"/>
    <w:rsid w:val="0026499C"/>
    <w:rsid w:val="00264C95"/>
    <w:rsid w:val="002661BB"/>
    <w:rsid w:val="00267703"/>
    <w:rsid w:val="00267CFD"/>
    <w:rsid w:val="00271686"/>
    <w:rsid w:val="00271CA0"/>
    <w:rsid w:val="00271D0C"/>
    <w:rsid w:val="00272856"/>
    <w:rsid w:val="00274D37"/>
    <w:rsid w:val="00276654"/>
    <w:rsid w:val="00280AAD"/>
    <w:rsid w:val="00280EDA"/>
    <w:rsid w:val="00283315"/>
    <w:rsid w:val="0028442A"/>
    <w:rsid w:val="00284A88"/>
    <w:rsid w:val="00285163"/>
    <w:rsid w:val="002869D9"/>
    <w:rsid w:val="00287312"/>
    <w:rsid w:val="00290741"/>
    <w:rsid w:val="0029359E"/>
    <w:rsid w:val="0029498D"/>
    <w:rsid w:val="00294C7D"/>
    <w:rsid w:val="002953BD"/>
    <w:rsid w:val="00297C85"/>
    <w:rsid w:val="002A051F"/>
    <w:rsid w:val="002A0654"/>
    <w:rsid w:val="002A0DC2"/>
    <w:rsid w:val="002A1871"/>
    <w:rsid w:val="002A1AD3"/>
    <w:rsid w:val="002A5BC1"/>
    <w:rsid w:val="002A7042"/>
    <w:rsid w:val="002B0054"/>
    <w:rsid w:val="002B70A0"/>
    <w:rsid w:val="002C0403"/>
    <w:rsid w:val="002C0F8E"/>
    <w:rsid w:val="002C2DCC"/>
    <w:rsid w:val="002C3A25"/>
    <w:rsid w:val="002C48C9"/>
    <w:rsid w:val="002C59D3"/>
    <w:rsid w:val="002C6150"/>
    <w:rsid w:val="002C64CE"/>
    <w:rsid w:val="002C71B6"/>
    <w:rsid w:val="002C7F1A"/>
    <w:rsid w:val="002D1E8B"/>
    <w:rsid w:val="002D2C58"/>
    <w:rsid w:val="002D352D"/>
    <w:rsid w:val="002D49E5"/>
    <w:rsid w:val="002E00EC"/>
    <w:rsid w:val="002E0852"/>
    <w:rsid w:val="002E0DC9"/>
    <w:rsid w:val="002E17F9"/>
    <w:rsid w:val="002E29C1"/>
    <w:rsid w:val="002E59D0"/>
    <w:rsid w:val="002E5A02"/>
    <w:rsid w:val="002E5C2A"/>
    <w:rsid w:val="002E6028"/>
    <w:rsid w:val="002E6902"/>
    <w:rsid w:val="002E6B49"/>
    <w:rsid w:val="002E6CE5"/>
    <w:rsid w:val="002E6DD1"/>
    <w:rsid w:val="002E72AE"/>
    <w:rsid w:val="002F0760"/>
    <w:rsid w:val="002F35A5"/>
    <w:rsid w:val="002F723F"/>
    <w:rsid w:val="002F7ADA"/>
    <w:rsid w:val="002F7EA0"/>
    <w:rsid w:val="002F7F34"/>
    <w:rsid w:val="003015F5"/>
    <w:rsid w:val="00302266"/>
    <w:rsid w:val="003027AD"/>
    <w:rsid w:val="003049F4"/>
    <w:rsid w:val="003050C4"/>
    <w:rsid w:val="00305D94"/>
    <w:rsid w:val="00305E35"/>
    <w:rsid w:val="003077E9"/>
    <w:rsid w:val="00307827"/>
    <w:rsid w:val="003109CE"/>
    <w:rsid w:val="003114A4"/>
    <w:rsid w:val="00317B50"/>
    <w:rsid w:val="00317DDE"/>
    <w:rsid w:val="00321411"/>
    <w:rsid w:val="003236EB"/>
    <w:rsid w:val="003263DF"/>
    <w:rsid w:val="00326505"/>
    <w:rsid w:val="0032671F"/>
    <w:rsid w:val="00327D61"/>
    <w:rsid w:val="0033043A"/>
    <w:rsid w:val="003309B3"/>
    <w:rsid w:val="00332079"/>
    <w:rsid w:val="00332481"/>
    <w:rsid w:val="00332D91"/>
    <w:rsid w:val="00335327"/>
    <w:rsid w:val="003373BD"/>
    <w:rsid w:val="003404DA"/>
    <w:rsid w:val="00340829"/>
    <w:rsid w:val="003409B4"/>
    <w:rsid w:val="003415DD"/>
    <w:rsid w:val="0034309A"/>
    <w:rsid w:val="0034418D"/>
    <w:rsid w:val="00354DAA"/>
    <w:rsid w:val="00357932"/>
    <w:rsid w:val="00357B16"/>
    <w:rsid w:val="003614B2"/>
    <w:rsid w:val="00361A79"/>
    <w:rsid w:val="00361E93"/>
    <w:rsid w:val="00361EBD"/>
    <w:rsid w:val="003628FE"/>
    <w:rsid w:val="00364CF6"/>
    <w:rsid w:val="00365557"/>
    <w:rsid w:val="0036658C"/>
    <w:rsid w:val="003667CD"/>
    <w:rsid w:val="00366B96"/>
    <w:rsid w:val="00367256"/>
    <w:rsid w:val="0036735D"/>
    <w:rsid w:val="00367CA1"/>
    <w:rsid w:val="00367EC1"/>
    <w:rsid w:val="003712E3"/>
    <w:rsid w:val="003736B9"/>
    <w:rsid w:val="003743B7"/>
    <w:rsid w:val="00374879"/>
    <w:rsid w:val="00382987"/>
    <w:rsid w:val="00382DEC"/>
    <w:rsid w:val="00384E33"/>
    <w:rsid w:val="00386258"/>
    <w:rsid w:val="003878EE"/>
    <w:rsid w:val="00390740"/>
    <w:rsid w:val="0039104B"/>
    <w:rsid w:val="00391B0E"/>
    <w:rsid w:val="00392590"/>
    <w:rsid w:val="003929AA"/>
    <w:rsid w:val="0039430A"/>
    <w:rsid w:val="00396CD5"/>
    <w:rsid w:val="00397C50"/>
    <w:rsid w:val="00397CFB"/>
    <w:rsid w:val="00397F13"/>
    <w:rsid w:val="003A0617"/>
    <w:rsid w:val="003A43DA"/>
    <w:rsid w:val="003A57E8"/>
    <w:rsid w:val="003A7227"/>
    <w:rsid w:val="003B0D66"/>
    <w:rsid w:val="003B3922"/>
    <w:rsid w:val="003B68AC"/>
    <w:rsid w:val="003B7B95"/>
    <w:rsid w:val="003C1604"/>
    <w:rsid w:val="003C16B0"/>
    <w:rsid w:val="003C1835"/>
    <w:rsid w:val="003C284A"/>
    <w:rsid w:val="003C2A33"/>
    <w:rsid w:val="003C33B7"/>
    <w:rsid w:val="003C38D2"/>
    <w:rsid w:val="003C62BD"/>
    <w:rsid w:val="003C673B"/>
    <w:rsid w:val="003C7261"/>
    <w:rsid w:val="003C748C"/>
    <w:rsid w:val="003C7A41"/>
    <w:rsid w:val="003D0B93"/>
    <w:rsid w:val="003D27DA"/>
    <w:rsid w:val="003D2C4B"/>
    <w:rsid w:val="003D3C70"/>
    <w:rsid w:val="003D4B0E"/>
    <w:rsid w:val="003D4F1C"/>
    <w:rsid w:val="003D5205"/>
    <w:rsid w:val="003D6C8C"/>
    <w:rsid w:val="003E22EB"/>
    <w:rsid w:val="003E41A2"/>
    <w:rsid w:val="003E4BBA"/>
    <w:rsid w:val="003E75D6"/>
    <w:rsid w:val="003E77ED"/>
    <w:rsid w:val="003F0FCD"/>
    <w:rsid w:val="003F12E8"/>
    <w:rsid w:val="003F1935"/>
    <w:rsid w:val="003F301E"/>
    <w:rsid w:val="003F32C4"/>
    <w:rsid w:val="003F3E44"/>
    <w:rsid w:val="003F4093"/>
    <w:rsid w:val="003F61E7"/>
    <w:rsid w:val="003F6EF0"/>
    <w:rsid w:val="003F7072"/>
    <w:rsid w:val="00400626"/>
    <w:rsid w:val="0040066B"/>
    <w:rsid w:val="00400FBC"/>
    <w:rsid w:val="00403C63"/>
    <w:rsid w:val="00406184"/>
    <w:rsid w:val="0040664E"/>
    <w:rsid w:val="00406C60"/>
    <w:rsid w:val="00407AB8"/>
    <w:rsid w:val="0041051A"/>
    <w:rsid w:val="0041081E"/>
    <w:rsid w:val="00411CDF"/>
    <w:rsid w:val="00412832"/>
    <w:rsid w:val="00413120"/>
    <w:rsid w:val="00413524"/>
    <w:rsid w:val="00413780"/>
    <w:rsid w:val="00414600"/>
    <w:rsid w:val="0041609B"/>
    <w:rsid w:val="0041647B"/>
    <w:rsid w:val="00420AA0"/>
    <w:rsid w:val="00427A5B"/>
    <w:rsid w:val="00433770"/>
    <w:rsid w:val="00433A16"/>
    <w:rsid w:val="00434183"/>
    <w:rsid w:val="004347D7"/>
    <w:rsid w:val="00436310"/>
    <w:rsid w:val="0043674A"/>
    <w:rsid w:val="004368CE"/>
    <w:rsid w:val="00437162"/>
    <w:rsid w:val="004375D4"/>
    <w:rsid w:val="0044036E"/>
    <w:rsid w:val="004405D9"/>
    <w:rsid w:val="004416ED"/>
    <w:rsid w:val="004461B6"/>
    <w:rsid w:val="00446FFC"/>
    <w:rsid w:val="004470CA"/>
    <w:rsid w:val="00450BCB"/>
    <w:rsid w:val="00450D88"/>
    <w:rsid w:val="00451AB8"/>
    <w:rsid w:val="0045226B"/>
    <w:rsid w:val="00453923"/>
    <w:rsid w:val="004545E4"/>
    <w:rsid w:val="00456214"/>
    <w:rsid w:val="004567E5"/>
    <w:rsid w:val="00457416"/>
    <w:rsid w:val="00462675"/>
    <w:rsid w:val="004632CC"/>
    <w:rsid w:val="00463F27"/>
    <w:rsid w:val="0046555D"/>
    <w:rsid w:val="00465E34"/>
    <w:rsid w:val="0046640C"/>
    <w:rsid w:val="00467589"/>
    <w:rsid w:val="00467627"/>
    <w:rsid w:val="00467DEA"/>
    <w:rsid w:val="00470EC6"/>
    <w:rsid w:val="004760B9"/>
    <w:rsid w:val="00476326"/>
    <w:rsid w:val="004767FD"/>
    <w:rsid w:val="00476F3E"/>
    <w:rsid w:val="0048089A"/>
    <w:rsid w:val="00481ED6"/>
    <w:rsid w:val="00482754"/>
    <w:rsid w:val="00482A46"/>
    <w:rsid w:val="00482D11"/>
    <w:rsid w:val="00483F8C"/>
    <w:rsid w:val="00485F9B"/>
    <w:rsid w:val="004907EC"/>
    <w:rsid w:val="00490A8A"/>
    <w:rsid w:val="00490EFC"/>
    <w:rsid w:val="004912FE"/>
    <w:rsid w:val="00491D8D"/>
    <w:rsid w:val="00492A89"/>
    <w:rsid w:val="00493945"/>
    <w:rsid w:val="004943A8"/>
    <w:rsid w:val="00494607"/>
    <w:rsid w:val="00494C5E"/>
    <w:rsid w:val="0049615E"/>
    <w:rsid w:val="00496189"/>
    <w:rsid w:val="004A1D16"/>
    <w:rsid w:val="004A340F"/>
    <w:rsid w:val="004A3480"/>
    <w:rsid w:val="004A3B26"/>
    <w:rsid w:val="004A63D9"/>
    <w:rsid w:val="004B0F47"/>
    <w:rsid w:val="004B3656"/>
    <w:rsid w:val="004B397D"/>
    <w:rsid w:val="004C06B7"/>
    <w:rsid w:val="004C17BF"/>
    <w:rsid w:val="004C1BB1"/>
    <w:rsid w:val="004C1BBE"/>
    <w:rsid w:val="004C1D79"/>
    <w:rsid w:val="004C309D"/>
    <w:rsid w:val="004C570F"/>
    <w:rsid w:val="004D1F34"/>
    <w:rsid w:val="004D3F1C"/>
    <w:rsid w:val="004D4B6B"/>
    <w:rsid w:val="004D50E3"/>
    <w:rsid w:val="004D5C47"/>
    <w:rsid w:val="004D78B8"/>
    <w:rsid w:val="004E07D9"/>
    <w:rsid w:val="004E08E3"/>
    <w:rsid w:val="004E1727"/>
    <w:rsid w:val="004E1A50"/>
    <w:rsid w:val="004E25BA"/>
    <w:rsid w:val="004E25D2"/>
    <w:rsid w:val="004E4113"/>
    <w:rsid w:val="004E42DE"/>
    <w:rsid w:val="004F0C19"/>
    <w:rsid w:val="004F187F"/>
    <w:rsid w:val="004F3460"/>
    <w:rsid w:val="0050164E"/>
    <w:rsid w:val="005017CD"/>
    <w:rsid w:val="005032D4"/>
    <w:rsid w:val="00503F5E"/>
    <w:rsid w:val="00504060"/>
    <w:rsid w:val="0050570C"/>
    <w:rsid w:val="00506925"/>
    <w:rsid w:val="00510301"/>
    <w:rsid w:val="00510B44"/>
    <w:rsid w:val="005123DC"/>
    <w:rsid w:val="00513171"/>
    <w:rsid w:val="0051439A"/>
    <w:rsid w:val="005154DD"/>
    <w:rsid w:val="005157E1"/>
    <w:rsid w:val="005176DD"/>
    <w:rsid w:val="00520A3E"/>
    <w:rsid w:val="00521A32"/>
    <w:rsid w:val="00521EC6"/>
    <w:rsid w:val="00522739"/>
    <w:rsid w:val="00523920"/>
    <w:rsid w:val="005240A4"/>
    <w:rsid w:val="005276BF"/>
    <w:rsid w:val="005301DF"/>
    <w:rsid w:val="00530B76"/>
    <w:rsid w:val="00530BB4"/>
    <w:rsid w:val="00532095"/>
    <w:rsid w:val="00535279"/>
    <w:rsid w:val="00536D9B"/>
    <w:rsid w:val="00537104"/>
    <w:rsid w:val="005374F6"/>
    <w:rsid w:val="0054244F"/>
    <w:rsid w:val="0054316E"/>
    <w:rsid w:val="00543EFD"/>
    <w:rsid w:val="005448A6"/>
    <w:rsid w:val="005463ED"/>
    <w:rsid w:val="005469EB"/>
    <w:rsid w:val="00546C17"/>
    <w:rsid w:val="00550790"/>
    <w:rsid w:val="00551F56"/>
    <w:rsid w:val="00552F0B"/>
    <w:rsid w:val="00553766"/>
    <w:rsid w:val="00553E85"/>
    <w:rsid w:val="00554149"/>
    <w:rsid w:val="005569F2"/>
    <w:rsid w:val="00560535"/>
    <w:rsid w:val="00560FC1"/>
    <w:rsid w:val="00561C58"/>
    <w:rsid w:val="00564570"/>
    <w:rsid w:val="00564F29"/>
    <w:rsid w:val="005653D8"/>
    <w:rsid w:val="0056787D"/>
    <w:rsid w:val="00570947"/>
    <w:rsid w:val="00571D85"/>
    <w:rsid w:val="00572368"/>
    <w:rsid w:val="00573133"/>
    <w:rsid w:val="005735CD"/>
    <w:rsid w:val="0057558C"/>
    <w:rsid w:val="005760B2"/>
    <w:rsid w:val="005768AD"/>
    <w:rsid w:val="00577CC4"/>
    <w:rsid w:val="00580F41"/>
    <w:rsid w:val="00581BAA"/>
    <w:rsid w:val="0058322A"/>
    <w:rsid w:val="00583363"/>
    <w:rsid w:val="00585981"/>
    <w:rsid w:val="0058603E"/>
    <w:rsid w:val="0058621C"/>
    <w:rsid w:val="005902E6"/>
    <w:rsid w:val="00590C1B"/>
    <w:rsid w:val="00590D25"/>
    <w:rsid w:val="005933B4"/>
    <w:rsid w:val="00593B18"/>
    <w:rsid w:val="0059415E"/>
    <w:rsid w:val="005945EC"/>
    <w:rsid w:val="005948F1"/>
    <w:rsid w:val="00597E1D"/>
    <w:rsid w:val="005A0CBB"/>
    <w:rsid w:val="005A1914"/>
    <w:rsid w:val="005A5F89"/>
    <w:rsid w:val="005B106C"/>
    <w:rsid w:val="005B3B74"/>
    <w:rsid w:val="005B4E7A"/>
    <w:rsid w:val="005B7264"/>
    <w:rsid w:val="005C22FC"/>
    <w:rsid w:val="005C2687"/>
    <w:rsid w:val="005C2A0A"/>
    <w:rsid w:val="005C49BE"/>
    <w:rsid w:val="005C61BF"/>
    <w:rsid w:val="005C62B8"/>
    <w:rsid w:val="005C6D45"/>
    <w:rsid w:val="005D0E28"/>
    <w:rsid w:val="005D4540"/>
    <w:rsid w:val="005D4F45"/>
    <w:rsid w:val="005D54DA"/>
    <w:rsid w:val="005D5B15"/>
    <w:rsid w:val="005D5E0E"/>
    <w:rsid w:val="005D659F"/>
    <w:rsid w:val="005E025E"/>
    <w:rsid w:val="005E2512"/>
    <w:rsid w:val="005E2569"/>
    <w:rsid w:val="005E26D2"/>
    <w:rsid w:val="005E2E2C"/>
    <w:rsid w:val="005E3880"/>
    <w:rsid w:val="005E4132"/>
    <w:rsid w:val="005E4EBC"/>
    <w:rsid w:val="005E5561"/>
    <w:rsid w:val="005E56AA"/>
    <w:rsid w:val="005F00AD"/>
    <w:rsid w:val="005F17DD"/>
    <w:rsid w:val="005F3890"/>
    <w:rsid w:val="005F44EC"/>
    <w:rsid w:val="005F70E1"/>
    <w:rsid w:val="005F728A"/>
    <w:rsid w:val="005F7351"/>
    <w:rsid w:val="005F7590"/>
    <w:rsid w:val="006022A8"/>
    <w:rsid w:val="00604A0C"/>
    <w:rsid w:val="00605D54"/>
    <w:rsid w:val="0060664D"/>
    <w:rsid w:val="00606E12"/>
    <w:rsid w:val="006101A5"/>
    <w:rsid w:val="0061081D"/>
    <w:rsid w:val="0061118D"/>
    <w:rsid w:val="00611D66"/>
    <w:rsid w:val="00614852"/>
    <w:rsid w:val="00614A86"/>
    <w:rsid w:val="00614D20"/>
    <w:rsid w:val="006155B3"/>
    <w:rsid w:val="00620608"/>
    <w:rsid w:val="006217D8"/>
    <w:rsid w:val="00621896"/>
    <w:rsid w:val="00621AAA"/>
    <w:rsid w:val="006231A5"/>
    <w:rsid w:val="00623547"/>
    <w:rsid w:val="00624455"/>
    <w:rsid w:val="00624C49"/>
    <w:rsid w:val="00625326"/>
    <w:rsid w:val="00626BAA"/>
    <w:rsid w:val="00630F6E"/>
    <w:rsid w:val="006319B7"/>
    <w:rsid w:val="00631C1D"/>
    <w:rsid w:val="006330BE"/>
    <w:rsid w:val="00633562"/>
    <w:rsid w:val="00633FBD"/>
    <w:rsid w:val="00634707"/>
    <w:rsid w:val="006352B4"/>
    <w:rsid w:val="00635B8D"/>
    <w:rsid w:val="006366B5"/>
    <w:rsid w:val="0063671F"/>
    <w:rsid w:val="00640048"/>
    <w:rsid w:val="006402CC"/>
    <w:rsid w:val="00640768"/>
    <w:rsid w:val="006416CD"/>
    <w:rsid w:val="006427B3"/>
    <w:rsid w:val="0064548D"/>
    <w:rsid w:val="006461A6"/>
    <w:rsid w:val="00646BFC"/>
    <w:rsid w:val="006470E7"/>
    <w:rsid w:val="006476D0"/>
    <w:rsid w:val="00652C7C"/>
    <w:rsid w:val="00655823"/>
    <w:rsid w:val="00655931"/>
    <w:rsid w:val="00661562"/>
    <w:rsid w:val="0066465F"/>
    <w:rsid w:val="006714F9"/>
    <w:rsid w:val="0067441A"/>
    <w:rsid w:val="0067514A"/>
    <w:rsid w:val="006762F8"/>
    <w:rsid w:val="00676899"/>
    <w:rsid w:val="00680366"/>
    <w:rsid w:val="0068065D"/>
    <w:rsid w:val="00682CCB"/>
    <w:rsid w:val="00683059"/>
    <w:rsid w:val="0068559B"/>
    <w:rsid w:val="006859AC"/>
    <w:rsid w:val="006867CE"/>
    <w:rsid w:val="006911DE"/>
    <w:rsid w:val="006913F7"/>
    <w:rsid w:val="00692598"/>
    <w:rsid w:val="0069333E"/>
    <w:rsid w:val="00693E19"/>
    <w:rsid w:val="00693FA9"/>
    <w:rsid w:val="0069514B"/>
    <w:rsid w:val="0069592B"/>
    <w:rsid w:val="00697788"/>
    <w:rsid w:val="006977BD"/>
    <w:rsid w:val="006A0021"/>
    <w:rsid w:val="006A0D19"/>
    <w:rsid w:val="006A17E3"/>
    <w:rsid w:val="006A202B"/>
    <w:rsid w:val="006A2142"/>
    <w:rsid w:val="006A22C0"/>
    <w:rsid w:val="006A292E"/>
    <w:rsid w:val="006A4C01"/>
    <w:rsid w:val="006A711B"/>
    <w:rsid w:val="006A7E30"/>
    <w:rsid w:val="006B09BD"/>
    <w:rsid w:val="006B1962"/>
    <w:rsid w:val="006B2D10"/>
    <w:rsid w:val="006B35D7"/>
    <w:rsid w:val="006B3A63"/>
    <w:rsid w:val="006B410E"/>
    <w:rsid w:val="006B4505"/>
    <w:rsid w:val="006B5286"/>
    <w:rsid w:val="006C0C7C"/>
    <w:rsid w:val="006C1260"/>
    <w:rsid w:val="006C281E"/>
    <w:rsid w:val="006C28CA"/>
    <w:rsid w:val="006C2FC8"/>
    <w:rsid w:val="006C326F"/>
    <w:rsid w:val="006C3EDE"/>
    <w:rsid w:val="006C4BD3"/>
    <w:rsid w:val="006D0519"/>
    <w:rsid w:val="006D0C58"/>
    <w:rsid w:val="006D151D"/>
    <w:rsid w:val="006D330D"/>
    <w:rsid w:val="006D39D5"/>
    <w:rsid w:val="006D3ADD"/>
    <w:rsid w:val="006D57FD"/>
    <w:rsid w:val="006D6D9F"/>
    <w:rsid w:val="006E0408"/>
    <w:rsid w:val="006E2496"/>
    <w:rsid w:val="006E25AE"/>
    <w:rsid w:val="006E26E4"/>
    <w:rsid w:val="006E3B67"/>
    <w:rsid w:val="006E6029"/>
    <w:rsid w:val="006E77DE"/>
    <w:rsid w:val="006E78D1"/>
    <w:rsid w:val="006F24B7"/>
    <w:rsid w:val="006F2C31"/>
    <w:rsid w:val="006F3830"/>
    <w:rsid w:val="006F4367"/>
    <w:rsid w:val="006F51C3"/>
    <w:rsid w:val="006F5A36"/>
    <w:rsid w:val="006F5AB7"/>
    <w:rsid w:val="006F5CD1"/>
    <w:rsid w:val="006F62A5"/>
    <w:rsid w:val="006F77AB"/>
    <w:rsid w:val="007004AC"/>
    <w:rsid w:val="007016E1"/>
    <w:rsid w:val="00701D05"/>
    <w:rsid w:val="00704757"/>
    <w:rsid w:val="00705E03"/>
    <w:rsid w:val="0071079C"/>
    <w:rsid w:val="00711899"/>
    <w:rsid w:val="00712131"/>
    <w:rsid w:val="007145A0"/>
    <w:rsid w:val="00715682"/>
    <w:rsid w:val="007179F2"/>
    <w:rsid w:val="00717D84"/>
    <w:rsid w:val="00721749"/>
    <w:rsid w:val="00721958"/>
    <w:rsid w:val="0072213D"/>
    <w:rsid w:val="007229D8"/>
    <w:rsid w:val="007242B9"/>
    <w:rsid w:val="00726FCA"/>
    <w:rsid w:val="00727212"/>
    <w:rsid w:val="00730673"/>
    <w:rsid w:val="00730D84"/>
    <w:rsid w:val="00732241"/>
    <w:rsid w:val="00732E8E"/>
    <w:rsid w:val="00735013"/>
    <w:rsid w:val="00744E03"/>
    <w:rsid w:val="00744EAD"/>
    <w:rsid w:val="007451C7"/>
    <w:rsid w:val="0074582A"/>
    <w:rsid w:val="007478A7"/>
    <w:rsid w:val="0075222A"/>
    <w:rsid w:val="00752B3D"/>
    <w:rsid w:val="00754F89"/>
    <w:rsid w:val="0075567B"/>
    <w:rsid w:val="0075719C"/>
    <w:rsid w:val="00760243"/>
    <w:rsid w:val="00760E53"/>
    <w:rsid w:val="0076151E"/>
    <w:rsid w:val="00762536"/>
    <w:rsid w:val="0076290B"/>
    <w:rsid w:val="00764A4B"/>
    <w:rsid w:val="00764CC4"/>
    <w:rsid w:val="0076668F"/>
    <w:rsid w:val="00770213"/>
    <w:rsid w:val="0077189F"/>
    <w:rsid w:val="007718A7"/>
    <w:rsid w:val="00772AA3"/>
    <w:rsid w:val="0077372C"/>
    <w:rsid w:val="0077520B"/>
    <w:rsid w:val="00776129"/>
    <w:rsid w:val="007763F1"/>
    <w:rsid w:val="0078018F"/>
    <w:rsid w:val="00781756"/>
    <w:rsid w:val="00783D7D"/>
    <w:rsid w:val="00784BCF"/>
    <w:rsid w:val="00785509"/>
    <w:rsid w:val="00785554"/>
    <w:rsid w:val="00785FB4"/>
    <w:rsid w:val="00787837"/>
    <w:rsid w:val="007900D0"/>
    <w:rsid w:val="00790231"/>
    <w:rsid w:val="007908DC"/>
    <w:rsid w:val="00790D70"/>
    <w:rsid w:val="0079347B"/>
    <w:rsid w:val="00794260"/>
    <w:rsid w:val="007955A5"/>
    <w:rsid w:val="00795B5F"/>
    <w:rsid w:val="007972AB"/>
    <w:rsid w:val="00797666"/>
    <w:rsid w:val="00797F13"/>
    <w:rsid w:val="007A0292"/>
    <w:rsid w:val="007A0526"/>
    <w:rsid w:val="007A2100"/>
    <w:rsid w:val="007A2A72"/>
    <w:rsid w:val="007A2B04"/>
    <w:rsid w:val="007A731C"/>
    <w:rsid w:val="007B02E3"/>
    <w:rsid w:val="007B282E"/>
    <w:rsid w:val="007B2F81"/>
    <w:rsid w:val="007B3256"/>
    <w:rsid w:val="007B585D"/>
    <w:rsid w:val="007B596B"/>
    <w:rsid w:val="007B7061"/>
    <w:rsid w:val="007C0592"/>
    <w:rsid w:val="007C1799"/>
    <w:rsid w:val="007C338D"/>
    <w:rsid w:val="007C396A"/>
    <w:rsid w:val="007C5FA7"/>
    <w:rsid w:val="007C64C8"/>
    <w:rsid w:val="007C653D"/>
    <w:rsid w:val="007D0016"/>
    <w:rsid w:val="007D0F5E"/>
    <w:rsid w:val="007D1317"/>
    <w:rsid w:val="007D3498"/>
    <w:rsid w:val="007D3836"/>
    <w:rsid w:val="007D5415"/>
    <w:rsid w:val="007D65A0"/>
    <w:rsid w:val="007E05F4"/>
    <w:rsid w:val="007E1F88"/>
    <w:rsid w:val="007E306A"/>
    <w:rsid w:val="007E4CAB"/>
    <w:rsid w:val="007E5637"/>
    <w:rsid w:val="007E583A"/>
    <w:rsid w:val="007E5DD2"/>
    <w:rsid w:val="007E7219"/>
    <w:rsid w:val="007F02AD"/>
    <w:rsid w:val="007F0839"/>
    <w:rsid w:val="007F23BE"/>
    <w:rsid w:val="007F53A2"/>
    <w:rsid w:val="007F62AB"/>
    <w:rsid w:val="007F74A8"/>
    <w:rsid w:val="008003A4"/>
    <w:rsid w:val="00801190"/>
    <w:rsid w:val="00801D57"/>
    <w:rsid w:val="00803278"/>
    <w:rsid w:val="00803DA2"/>
    <w:rsid w:val="008048F0"/>
    <w:rsid w:val="00806E11"/>
    <w:rsid w:val="008118C5"/>
    <w:rsid w:val="00811DB7"/>
    <w:rsid w:val="00812549"/>
    <w:rsid w:val="008154DC"/>
    <w:rsid w:val="00815A9F"/>
    <w:rsid w:val="00820DF4"/>
    <w:rsid w:val="00820F19"/>
    <w:rsid w:val="008213E9"/>
    <w:rsid w:val="00822EEE"/>
    <w:rsid w:val="00823B65"/>
    <w:rsid w:val="00823F56"/>
    <w:rsid w:val="00823FB8"/>
    <w:rsid w:val="0082664B"/>
    <w:rsid w:val="008268C8"/>
    <w:rsid w:val="00831FA0"/>
    <w:rsid w:val="00835C15"/>
    <w:rsid w:val="00836260"/>
    <w:rsid w:val="00836448"/>
    <w:rsid w:val="008368B5"/>
    <w:rsid w:val="00837A15"/>
    <w:rsid w:val="00837BAB"/>
    <w:rsid w:val="00840D33"/>
    <w:rsid w:val="008413AA"/>
    <w:rsid w:val="008433BF"/>
    <w:rsid w:val="00843B86"/>
    <w:rsid w:val="00844197"/>
    <w:rsid w:val="00844388"/>
    <w:rsid w:val="0084643C"/>
    <w:rsid w:val="00847E39"/>
    <w:rsid w:val="008505A4"/>
    <w:rsid w:val="00850850"/>
    <w:rsid w:val="00851B44"/>
    <w:rsid w:val="00851C10"/>
    <w:rsid w:val="00853ED3"/>
    <w:rsid w:val="008540F3"/>
    <w:rsid w:val="0085441F"/>
    <w:rsid w:val="00855541"/>
    <w:rsid w:val="00856066"/>
    <w:rsid w:val="00856718"/>
    <w:rsid w:val="00857FF1"/>
    <w:rsid w:val="00861CAB"/>
    <w:rsid w:val="00862F6D"/>
    <w:rsid w:val="0086339A"/>
    <w:rsid w:val="00863DF9"/>
    <w:rsid w:val="00864748"/>
    <w:rsid w:val="00865942"/>
    <w:rsid w:val="008669CB"/>
    <w:rsid w:val="008674CD"/>
    <w:rsid w:val="00867808"/>
    <w:rsid w:val="008720AC"/>
    <w:rsid w:val="00873196"/>
    <w:rsid w:val="0087363E"/>
    <w:rsid w:val="00874474"/>
    <w:rsid w:val="00874A96"/>
    <w:rsid w:val="008754BA"/>
    <w:rsid w:val="008756C6"/>
    <w:rsid w:val="00877A10"/>
    <w:rsid w:val="0088319A"/>
    <w:rsid w:val="00883909"/>
    <w:rsid w:val="00883C8A"/>
    <w:rsid w:val="00883D1A"/>
    <w:rsid w:val="00884187"/>
    <w:rsid w:val="008849C6"/>
    <w:rsid w:val="008868C5"/>
    <w:rsid w:val="00890B17"/>
    <w:rsid w:val="0089326B"/>
    <w:rsid w:val="00893B87"/>
    <w:rsid w:val="00893CA2"/>
    <w:rsid w:val="0089448D"/>
    <w:rsid w:val="0089540B"/>
    <w:rsid w:val="00895B50"/>
    <w:rsid w:val="0089624E"/>
    <w:rsid w:val="00896896"/>
    <w:rsid w:val="00897DA6"/>
    <w:rsid w:val="008A1B54"/>
    <w:rsid w:val="008A265D"/>
    <w:rsid w:val="008A3134"/>
    <w:rsid w:val="008A44E4"/>
    <w:rsid w:val="008A4785"/>
    <w:rsid w:val="008A51B2"/>
    <w:rsid w:val="008A51F0"/>
    <w:rsid w:val="008A5390"/>
    <w:rsid w:val="008A5688"/>
    <w:rsid w:val="008B07BD"/>
    <w:rsid w:val="008B2A82"/>
    <w:rsid w:val="008B2FDD"/>
    <w:rsid w:val="008B57E4"/>
    <w:rsid w:val="008B5845"/>
    <w:rsid w:val="008B619D"/>
    <w:rsid w:val="008C0869"/>
    <w:rsid w:val="008C366C"/>
    <w:rsid w:val="008C496D"/>
    <w:rsid w:val="008C7D5D"/>
    <w:rsid w:val="008D04FF"/>
    <w:rsid w:val="008D1058"/>
    <w:rsid w:val="008D2E0D"/>
    <w:rsid w:val="008D2EB8"/>
    <w:rsid w:val="008D3719"/>
    <w:rsid w:val="008D37B6"/>
    <w:rsid w:val="008D681B"/>
    <w:rsid w:val="008D7D43"/>
    <w:rsid w:val="008D7EF6"/>
    <w:rsid w:val="008E080A"/>
    <w:rsid w:val="008E0927"/>
    <w:rsid w:val="008E1FF5"/>
    <w:rsid w:val="008E455B"/>
    <w:rsid w:val="008E5399"/>
    <w:rsid w:val="008E7FBE"/>
    <w:rsid w:val="008F2638"/>
    <w:rsid w:val="008F2C4D"/>
    <w:rsid w:val="008F2EBA"/>
    <w:rsid w:val="008F2FA6"/>
    <w:rsid w:val="008F3657"/>
    <w:rsid w:val="008F3965"/>
    <w:rsid w:val="008F4302"/>
    <w:rsid w:val="008F5DA7"/>
    <w:rsid w:val="008F6DAD"/>
    <w:rsid w:val="00900BFB"/>
    <w:rsid w:val="009022A2"/>
    <w:rsid w:val="00902FCD"/>
    <w:rsid w:val="00907FEC"/>
    <w:rsid w:val="009129CC"/>
    <w:rsid w:val="00914C31"/>
    <w:rsid w:val="00914DB4"/>
    <w:rsid w:val="00914F1F"/>
    <w:rsid w:val="0091785E"/>
    <w:rsid w:val="00917E28"/>
    <w:rsid w:val="00917FBA"/>
    <w:rsid w:val="009206E3"/>
    <w:rsid w:val="0092161D"/>
    <w:rsid w:val="0092185C"/>
    <w:rsid w:val="009233CF"/>
    <w:rsid w:val="0092432A"/>
    <w:rsid w:val="00924343"/>
    <w:rsid w:val="00924D1A"/>
    <w:rsid w:val="00925369"/>
    <w:rsid w:val="00926E07"/>
    <w:rsid w:val="009271E9"/>
    <w:rsid w:val="009277B3"/>
    <w:rsid w:val="00930ED6"/>
    <w:rsid w:val="0093166E"/>
    <w:rsid w:val="00931713"/>
    <w:rsid w:val="00931EF7"/>
    <w:rsid w:val="009343C3"/>
    <w:rsid w:val="00934E38"/>
    <w:rsid w:val="009354AE"/>
    <w:rsid w:val="0093683B"/>
    <w:rsid w:val="009371B5"/>
    <w:rsid w:val="00940B60"/>
    <w:rsid w:val="00940F5B"/>
    <w:rsid w:val="0094243C"/>
    <w:rsid w:val="009439C2"/>
    <w:rsid w:val="00945DC6"/>
    <w:rsid w:val="00947AFD"/>
    <w:rsid w:val="00950FFD"/>
    <w:rsid w:val="00951B3B"/>
    <w:rsid w:val="009536CA"/>
    <w:rsid w:val="00954EB8"/>
    <w:rsid w:val="00955EF1"/>
    <w:rsid w:val="0096003E"/>
    <w:rsid w:val="009609F0"/>
    <w:rsid w:val="009612DC"/>
    <w:rsid w:val="00961474"/>
    <w:rsid w:val="00962DC0"/>
    <w:rsid w:val="0096447A"/>
    <w:rsid w:val="0096466F"/>
    <w:rsid w:val="00965E33"/>
    <w:rsid w:val="009676DE"/>
    <w:rsid w:val="009703CA"/>
    <w:rsid w:val="009718CB"/>
    <w:rsid w:val="00971930"/>
    <w:rsid w:val="00973236"/>
    <w:rsid w:val="0097365F"/>
    <w:rsid w:val="00974987"/>
    <w:rsid w:val="00975133"/>
    <w:rsid w:val="0097638D"/>
    <w:rsid w:val="009805CE"/>
    <w:rsid w:val="00981A16"/>
    <w:rsid w:val="00982555"/>
    <w:rsid w:val="00982DC2"/>
    <w:rsid w:val="00984880"/>
    <w:rsid w:val="00984983"/>
    <w:rsid w:val="00985BFA"/>
    <w:rsid w:val="009862E1"/>
    <w:rsid w:val="0098682B"/>
    <w:rsid w:val="00986A0B"/>
    <w:rsid w:val="00990497"/>
    <w:rsid w:val="00990757"/>
    <w:rsid w:val="009916E5"/>
    <w:rsid w:val="00994764"/>
    <w:rsid w:val="0099743E"/>
    <w:rsid w:val="009974AE"/>
    <w:rsid w:val="00997643"/>
    <w:rsid w:val="009A0694"/>
    <w:rsid w:val="009A0D2C"/>
    <w:rsid w:val="009A19A8"/>
    <w:rsid w:val="009A5117"/>
    <w:rsid w:val="009A542F"/>
    <w:rsid w:val="009A607A"/>
    <w:rsid w:val="009A622C"/>
    <w:rsid w:val="009B0561"/>
    <w:rsid w:val="009B18B1"/>
    <w:rsid w:val="009B1B5A"/>
    <w:rsid w:val="009B25E3"/>
    <w:rsid w:val="009B2910"/>
    <w:rsid w:val="009B43FE"/>
    <w:rsid w:val="009B504B"/>
    <w:rsid w:val="009B5EBB"/>
    <w:rsid w:val="009B6E98"/>
    <w:rsid w:val="009C21A7"/>
    <w:rsid w:val="009C2C34"/>
    <w:rsid w:val="009C4309"/>
    <w:rsid w:val="009C491F"/>
    <w:rsid w:val="009C4C71"/>
    <w:rsid w:val="009C4DBD"/>
    <w:rsid w:val="009C5A11"/>
    <w:rsid w:val="009C5DBF"/>
    <w:rsid w:val="009C6957"/>
    <w:rsid w:val="009C69CE"/>
    <w:rsid w:val="009D0095"/>
    <w:rsid w:val="009D2571"/>
    <w:rsid w:val="009D2A6F"/>
    <w:rsid w:val="009D2F03"/>
    <w:rsid w:val="009D3616"/>
    <w:rsid w:val="009E31DF"/>
    <w:rsid w:val="009E3464"/>
    <w:rsid w:val="009E37B3"/>
    <w:rsid w:val="009E5209"/>
    <w:rsid w:val="009F0F55"/>
    <w:rsid w:val="009F16A5"/>
    <w:rsid w:val="009F1976"/>
    <w:rsid w:val="009F1EE8"/>
    <w:rsid w:val="009F2796"/>
    <w:rsid w:val="009F283D"/>
    <w:rsid w:val="009F6462"/>
    <w:rsid w:val="009F65E4"/>
    <w:rsid w:val="009F6AD0"/>
    <w:rsid w:val="009F71F1"/>
    <w:rsid w:val="00A008E9"/>
    <w:rsid w:val="00A033A6"/>
    <w:rsid w:val="00A034E1"/>
    <w:rsid w:val="00A03C87"/>
    <w:rsid w:val="00A03DAF"/>
    <w:rsid w:val="00A042D1"/>
    <w:rsid w:val="00A04A79"/>
    <w:rsid w:val="00A04DA6"/>
    <w:rsid w:val="00A04FE9"/>
    <w:rsid w:val="00A07795"/>
    <w:rsid w:val="00A07CBC"/>
    <w:rsid w:val="00A1145A"/>
    <w:rsid w:val="00A13688"/>
    <w:rsid w:val="00A13904"/>
    <w:rsid w:val="00A15E44"/>
    <w:rsid w:val="00A20F00"/>
    <w:rsid w:val="00A2174E"/>
    <w:rsid w:val="00A21995"/>
    <w:rsid w:val="00A2289F"/>
    <w:rsid w:val="00A234D0"/>
    <w:rsid w:val="00A2384F"/>
    <w:rsid w:val="00A253E8"/>
    <w:rsid w:val="00A261FB"/>
    <w:rsid w:val="00A26530"/>
    <w:rsid w:val="00A265B2"/>
    <w:rsid w:val="00A310FD"/>
    <w:rsid w:val="00A32501"/>
    <w:rsid w:val="00A327A4"/>
    <w:rsid w:val="00A3291C"/>
    <w:rsid w:val="00A32DDC"/>
    <w:rsid w:val="00A333D4"/>
    <w:rsid w:val="00A33878"/>
    <w:rsid w:val="00A343F9"/>
    <w:rsid w:val="00A34B61"/>
    <w:rsid w:val="00A353E6"/>
    <w:rsid w:val="00A4011E"/>
    <w:rsid w:val="00A4017C"/>
    <w:rsid w:val="00A40420"/>
    <w:rsid w:val="00A40A86"/>
    <w:rsid w:val="00A42E66"/>
    <w:rsid w:val="00A43DEC"/>
    <w:rsid w:val="00A50029"/>
    <w:rsid w:val="00A55822"/>
    <w:rsid w:val="00A55903"/>
    <w:rsid w:val="00A56634"/>
    <w:rsid w:val="00A5689A"/>
    <w:rsid w:val="00A56DB7"/>
    <w:rsid w:val="00A60D81"/>
    <w:rsid w:val="00A62774"/>
    <w:rsid w:val="00A62E43"/>
    <w:rsid w:val="00A639BD"/>
    <w:rsid w:val="00A63AF9"/>
    <w:rsid w:val="00A7371A"/>
    <w:rsid w:val="00A73D4E"/>
    <w:rsid w:val="00A7437A"/>
    <w:rsid w:val="00A75539"/>
    <w:rsid w:val="00A763D5"/>
    <w:rsid w:val="00A779F1"/>
    <w:rsid w:val="00A8329C"/>
    <w:rsid w:val="00A83619"/>
    <w:rsid w:val="00A8449C"/>
    <w:rsid w:val="00A86855"/>
    <w:rsid w:val="00A9068A"/>
    <w:rsid w:val="00A90BBD"/>
    <w:rsid w:val="00A91025"/>
    <w:rsid w:val="00A91153"/>
    <w:rsid w:val="00A911A6"/>
    <w:rsid w:val="00A91525"/>
    <w:rsid w:val="00A9188D"/>
    <w:rsid w:val="00A93C71"/>
    <w:rsid w:val="00A9448F"/>
    <w:rsid w:val="00A9550A"/>
    <w:rsid w:val="00A96CE2"/>
    <w:rsid w:val="00AA0655"/>
    <w:rsid w:val="00AA21FF"/>
    <w:rsid w:val="00AA66FF"/>
    <w:rsid w:val="00AA6B88"/>
    <w:rsid w:val="00AA7AB7"/>
    <w:rsid w:val="00AB1C09"/>
    <w:rsid w:val="00AB2A9C"/>
    <w:rsid w:val="00AB3CE4"/>
    <w:rsid w:val="00AB5916"/>
    <w:rsid w:val="00AB5F53"/>
    <w:rsid w:val="00AC06CE"/>
    <w:rsid w:val="00AC1027"/>
    <w:rsid w:val="00AC3932"/>
    <w:rsid w:val="00AC4193"/>
    <w:rsid w:val="00AC4FDE"/>
    <w:rsid w:val="00AC58F3"/>
    <w:rsid w:val="00AC6938"/>
    <w:rsid w:val="00AC6EC6"/>
    <w:rsid w:val="00AC6F86"/>
    <w:rsid w:val="00AD08E4"/>
    <w:rsid w:val="00AD1F6D"/>
    <w:rsid w:val="00AD2656"/>
    <w:rsid w:val="00AD28A0"/>
    <w:rsid w:val="00AD2B3F"/>
    <w:rsid w:val="00AD3118"/>
    <w:rsid w:val="00AD476B"/>
    <w:rsid w:val="00AD4884"/>
    <w:rsid w:val="00AD4E8C"/>
    <w:rsid w:val="00AD5075"/>
    <w:rsid w:val="00AD5DDA"/>
    <w:rsid w:val="00AE218F"/>
    <w:rsid w:val="00AE231D"/>
    <w:rsid w:val="00AE247E"/>
    <w:rsid w:val="00AE2F52"/>
    <w:rsid w:val="00AE4E48"/>
    <w:rsid w:val="00AE52CD"/>
    <w:rsid w:val="00AE5D11"/>
    <w:rsid w:val="00AE6691"/>
    <w:rsid w:val="00AE6CD4"/>
    <w:rsid w:val="00AF09A2"/>
    <w:rsid w:val="00AF0BBA"/>
    <w:rsid w:val="00AF0CAE"/>
    <w:rsid w:val="00AF13EC"/>
    <w:rsid w:val="00AF5220"/>
    <w:rsid w:val="00AF5272"/>
    <w:rsid w:val="00AF641C"/>
    <w:rsid w:val="00B01B30"/>
    <w:rsid w:val="00B01DA0"/>
    <w:rsid w:val="00B02284"/>
    <w:rsid w:val="00B02815"/>
    <w:rsid w:val="00B05E6B"/>
    <w:rsid w:val="00B06F48"/>
    <w:rsid w:val="00B06FBE"/>
    <w:rsid w:val="00B071E2"/>
    <w:rsid w:val="00B07701"/>
    <w:rsid w:val="00B07B61"/>
    <w:rsid w:val="00B07FE5"/>
    <w:rsid w:val="00B10DEE"/>
    <w:rsid w:val="00B1380B"/>
    <w:rsid w:val="00B14B1E"/>
    <w:rsid w:val="00B150EC"/>
    <w:rsid w:val="00B15FEB"/>
    <w:rsid w:val="00B20258"/>
    <w:rsid w:val="00B22166"/>
    <w:rsid w:val="00B232D3"/>
    <w:rsid w:val="00B241F9"/>
    <w:rsid w:val="00B24233"/>
    <w:rsid w:val="00B24373"/>
    <w:rsid w:val="00B245B9"/>
    <w:rsid w:val="00B26985"/>
    <w:rsid w:val="00B27BA6"/>
    <w:rsid w:val="00B31BBF"/>
    <w:rsid w:val="00B32600"/>
    <w:rsid w:val="00B32AE4"/>
    <w:rsid w:val="00B33B58"/>
    <w:rsid w:val="00B3494C"/>
    <w:rsid w:val="00B34E05"/>
    <w:rsid w:val="00B3631E"/>
    <w:rsid w:val="00B409FD"/>
    <w:rsid w:val="00B42E62"/>
    <w:rsid w:val="00B44D55"/>
    <w:rsid w:val="00B450CC"/>
    <w:rsid w:val="00B451A9"/>
    <w:rsid w:val="00B45BAA"/>
    <w:rsid w:val="00B474BF"/>
    <w:rsid w:val="00B52C1C"/>
    <w:rsid w:val="00B55308"/>
    <w:rsid w:val="00B57E0D"/>
    <w:rsid w:val="00B64464"/>
    <w:rsid w:val="00B6446B"/>
    <w:rsid w:val="00B67497"/>
    <w:rsid w:val="00B7122E"/>
    <w:rsid w:val="00B71493"/>
    <w:rsid w:val="00B71600"/>
    <w:rsid w:val="00B720E1"/>
    <w:rsid w:val="00B7353C"/>
    <w:rsid w:val="00B73942"/>
    <w:rsid w:val="00B749D6"/>
    <w:rsid w:val="00B755D1"/>
    <w:rsid w:val="00B75BAA"/>
    <w:rsid w:val="00B76A5B"/>
    <w:rsid w:val="00B80EA3"/>
    <w:rsid w:val="00B8108D"/>
    <w:rsid w:val="00B82AE9"/>
    <w:rsid w:val="00B848B6"/>
    <w:rsid w:val="00B84A21"/>
    <w:rsid w:val="00B84B93"/>
    <w:rsid w:val="00B85694"/>
    <w:rsid w:val="00B85849"/>
    <w:rsid w:val="00B865DD"/>
    <w:rsid w:val="00B86653"/>
    <w:rsid w:val="00B90B31"/>
    <w:rsid w:val="00B927C3"/>
    <w:rsid w:val="00B92DC0"/>
    <w:rsid w:val="00B933EF"/>
    <w:rsid w:val="00B953B8"/>
    <w:rsid w:val="00B95B3F"/>
    <w:rsid w:val="00B96AE1"/>
    <w:rsid w:val="00B97E80"/>
    <w:rsid w:val="00B97E95"/>
    <w:rsid w:val="00BA0C4B"/>
    <w:rsid w:val="00BA1024"/>
    <w:rsid w:val="00BA1D7C"/>
    <w:rsid w:val="00BA241E"/>
    <w:rsid w:val="00BA2C86"/>
    <w:rsid w:val="00BA37AA"/>
    <w:rsid w:val="00BA45F6"/>
    <w:rsid w:val="00BB20CA"/>
    <w:rsid w:val="00BB24A4"/>
    <w:rsid w:val="00BB2CCD"/>
    <w:rsid w:val="00BB3F10"/>
    <w:rsid w:val="00BB4CAA"/>
    <w:rsid w:val="00BB4E5B"/>
    <w:rsid w:val="00BC111E"/>
    <w:rsid w:val="00BC2357"/>
    <w:rsid w:val="00BC3598"/>
    <w:rsid w:val="00BC3A86"/>
    <w:rsid w:val="00BC44BD"/>
    <w:rsid w:val="00BC471A"/>
    <w:rsid w:val="00BC7385"/>
    <w:rsid w:val="00BC776E"/>
    <w:rsid w:val="00BD091F"/>
    <w:rsid w:val="00BD1912"/>
    <w:rsid w:val="00BD1DC1"/>
    <w:rsid w:val="00BD4838"/>
    <w:rsid w:val="00BD570C"/>
    <w:rsid w:val="00BD58FF"/>
    <w:rsid w:val="00BD5BEE"/>
    <w:rsid w:val="00BD669C"/>
    <w:rsid w:val="00BD6B3A"/>
    <w:rsid w:val="00BD767F"/>
    <w:rsid w:val="00BE013F"/>
    <w:rsid w:val="00BE06CC"/>
    <w:rsid w:val="00BE0CE8"/>
    <w:rsid w:val="00BE0F34"/>
    <w:rsid w:val="00BE1087"/>
    <w:rsid w:val="00BE16E7"/>
    <w:rsid w:val="00BE1E11"/>
    <w:rsid w:val="00BE3772"/>
    <w:rsid w:val="00BE554D"/>
    <w:rsid w:val="00BE6096"/>
    <w:rsid w:val="00BF07E6"/>
    <w:rsid w:val="00BF1A6C"/>
    <w:rsid w:val="00BF287D"/>
    <w:rsid w:val="00BF35F7"/>
    <w:rsid w:val="00BF405C"/>
    <w:rsid w:val="00BF420B"/>
    <w:rsid w:val="00BF786F"/>
    <w:rsid w:val="00C0074D"/>
    <w:rsid w:val="00C04268"/>
    <w:rsid w:val="00C05050"/>
    <w:rsid w:val="00C05172"/>
    <w:rsid w:val="00C05304"/>
    <w:rsid w:val="00C05522"/>
    <w:rsid w:val="00C06572"/>
    <w:rsid w:val="00C11CE3"/>
    <w:rsid w:val="00C122B2"/>
    <w:rsid w:val="00C1589A"/>
    <w:rsid w:val="00C1698A"/>
    <w:rsid w:val="00C16D70"/>
    <w:rsid w:val="00C16F67"/>
    <w:rsid w:val="00C21268"/>
    <w:rsid w:val="00C24EF9"/>
    <w:rsid w:val="00C25D81"/>
    <w:rsid w:val="00C26815"/>
    <w:rsid w:val="00C26F4B"/>
    <w:rsid w:val="00C305EE"/>
    <w:rsid w:val="00C335C1"/>
    <w:rsid w:val="00C36CDB"/>
    <w:rsid w:val="00C4086F"/>
    <w:rsid w:val="00C41EEE"/>
    <w:rsid w:val="00C42952"/>
    <w:rsid w:val="00C45797"/>
    <w:rsid w:val="00C46936"/>
    <w:rsid w:val="00C478CB"/>
    <w:rsid w:val="00C5315E"/>
    <w:rsid w:val="00C534F4"/>
    <w:rsid w:val="00C53686"/>
    <w:rsid w:val="00C537F7"/>
    <w:rsid w:val="00C53854"/>
    <w:rsid w:val="00C54888"/>
    <w:rsid w:val="00C54E8E"/>
    <w:rsid w:val="00C55024"/>
    <w:rsid w:val="00C5554D"/>
    <w:rsid w:val="00C56EF5"/>
    <w:rsid w:val="00C57AC1"/>
    <w:rsid w:val="00C6011B"/>
    <w:rsid w:val="00C62BEC"/>
    <w:rsid w:val="00C6353A"/>
    <w:rsid w:val="00C63799"/>
    <w:rsid w:val="00C665A6"/>
    <w:rsid w:val="00C6677C"/>
    <w:rsid w:val="00C71028"/>
    <w:rsid w:val="00C7284D"/>
    <w:rsid w:val="00C73ACE"/>
    <w:rsid w:val="00C75634"/>
    <w:rsid w:val="00C75D1F"/>
    <w:rsid w:val="00C7765B"/>
    <w:rsid w:val="00C80053"/>
    <w:rsid w:val="00C81460"/>
    <w:rsid w:val="00C81B7E"/>
    <w:rsid w:val="00C822B0"/>
    <w:rsid w:val="00C84708"/>
    <w:rsid w:val="00C84A9D"/>
    <w:rsid w:val="00C84E70"/>
    <w:rsid w:val="00C853A3"/>
    <w:rsid w:val="00C867DE"/>
    <w:rsid w:val="00C87C43"/>
    <w:rsid w:val="00C900B4"/>
    <w:rsid w:val="00C90B7A"/>
    <w:rsid w:val="00C90CEF"/>
    <w:rsid w:val="00C9115E"/>
    <w:rsid w:val="00C919DE"/>
    <w:rsid w:val="00C91FF8"/>
    <w:rsid w:val="00C927DF"/>
    <w:rsid w:val="00C92941"/>
    <w:rsid w:val="00C94DC4"/>
    <w:rsid w:val="00C963B9"/>
    <w:rsid w:val="00C96803"/>
    <w:rsid w:val="00C97D18"/>
    <w:rsid w:val="00CA1AD8"/>
    <w:rsid w:val="00CA2272"/>
    <w:rsid w:val="00CA2372"/>
    <w:rsid w:val="00CA38D3"/>
    <w:rsid w:val="00CA43D6"/>
    <w:rsid w:val="00CA52E2"/>
    <w:rsid w:val="00CA59FA"/>
    <w:rsid w:val="00CA6719"/>
    <w:rsid w:val="00CA6A33"/>
    <w:rsid w:val="00CA77DA"/>
    <w:rsid w:val="00CA7BBA"/>
    <w:rsid w:val="00CB0079"/>
    <w:rsid w:val="00CB0944"/>
    <w:rsid w:val="00CB0D91"/>
    <w:rsid w:val="00CB2B33"/>
    <w:rsid w:val="00CB2E3B"/>
    <w:rsid w:val="00CB2F9C"/>
    <w:rsid w:val="00CB3283"/>
    <w:rsid w:val="00CB36B0"/>
    <w:rsid w:val="00CB4844"/>
    <w:rsid w:val="00CB4DF1"/>
    <w:rsid w:val="00CB507B"/>
    <w:rsid w:val="00CB5D53"/>
    <w:rsid w:val="00CB6794"/>
    <w:rsid w:val="00CC0069"/>
    <w:rsid w:val="00CC01D3"/>
    <w:rsid w:val="00CC1469"/>
    <w:rsid w:val="00CC2784"/>
    <w:rsid w:val="00CC29A4"/>
    <w:rsid w:val="00CC3E52"/>
    <w:rsid w:val="00CC41B9"/>
    <w:rsid w:val="00CC4EC5"/>
    <w:rsid w:val="00CC5A3B"/>
    <w:rsid w:val="00CC6063"/>
    <w:rsid w:val="00CC6121"/>
    <w:rsid w:val="00CC68C7"/>
    <w:rsid w:val="00CC73E8"/>
    <w:rsid w:val="00CD1722"/>
    <w:rsid w:val="00CD2BC5"/>
    <w:rsid w:val="00CD2E04"/>
    <w:rsid w:val="00CD34D4"/>
    <w:rsid w:val="00CD3CBD"/>
    <w:rsid w:val="00CD4BF2"/>
    <w:rsid w:val="00CD53FA"/>
    <w:rsid w:val="00CD603C"/>
    <w:rsid w:val="00CD6152"/>
    <w:rsid w:val="00CD6A73"/>
    <w:rsid w:val="00CD6B0E"/>
    <w:rsid w:val="00CD7099"/>
    <w:rsid w:val="00CD76E6"/>
    <w:rsid w:val="00CD7E25"/>
    <w:rsid w:val="00CE0DCB"/>
    <w:rsid w:val="00CE18DE"/>
    <w:rsid w:val="00CE2269"/>
    <w:rsid w:val="00CE2BBD"/>
    <w:rsid w:val="00CE2E5D"/>
    <w:rsid w:val="00CE39E5"/>
    <w:rsid w:val="00CE4C19"/>
    <w:rsid w:val="00CE5D3E"/>
    <w:rsid w:val="00CE7574"/>
    <w:rsid w:val="00CE7853"/>
    <w:rsid w:val="00CE7B4B"/>
    <w:rsid w:val="00CF1F81"/>
    <w:rsid w:val="00CF29C3"/>
    <w:rsid w:val="00CF39BB"/>
    <w:rsid w:val="00CF3F38"/>
    <w:rsid w:val="00CF5247"/>
    <w:rsid w:val="00CF6346"/>
    <w:rsid w:val="00CF797D"/>
    <w:rsid w:val="00D02C91"/>
    <w:rsid w:val="00D06916"/>
    <w:rsid w:val="00D07CF0"/>
    <w:rsid w:val="00D07D44"/>
    <w:rsid w:val="00D134CF"/>
    <w:rsid w:val="00D13736"/>
    <w:rsid w:val="00D14ED3"/>
    <w:rsid w:val="00D173B7"/>
    <w:rsid w:val="00D20DA7"/>
    <w:rsid w:val="00D21E38"/>
    <w:rsid w:val="00D23FD3"/>
    <w:rsid w:val="00D24D29"/>
    <w:rsid w:val="00D253E0"/>
    <w:rsid w:val="00D26DB6"/>
    <w:rsid w:val="00D3024A"/>
    <w:rsid w:val="00D3055B"/>
    <w:rsid w:val="00D32DE1"/>
    <w:rsid w:val="00D33593"/>
    <w:rsid w:val="00D33CFF"/>
    <w:rsid w:val="00D3411B"/>
    <w:rsid w:val="00D34D4E"/>
    <w:rsid w:val="00D35BD3"/>
    <w:rsid w:val="00D35E14"/>
    <w:rsid w:val="00D36932"/>
    <w:rsid w:val="00D413BC"/>
    <w:rsid w:val="00D4171B"/>
    <w:rsid w:val="00D421C0"/>
    <w:rsid w:val="00D4228E"/>
    <w:rsid w:val="00D422B0"/>
    <w:rsid w:val="00D428C6"/>
    <w:rsid w:val="00D44699"/>
    <w:rsid w:val="00D4753E"/>
    <w:rsid w:val="00D4786F"/>
    <w:rsid w:val="00D50E9A"/>
    <w:rsid w:val="00D51085"/>
    <w:rsid w:val="00D515F3"/>
    <w:rsid w:val="00D5277C"/>
    <w:rsid w:val="00D56DF3"/>
    <w:rsid w:val="00D625F6"/>
    <w:rsid w:val="00D6299D"/>
    <w:rsid w:val="00D65069"/>
    <w:rsid w:val="00D658FE"/>
    <w:rsid w:val="00D676A5"/>
    <w:rsid w:val="00D7046B"/>
    <w:rsid w:val="00D70B9B"/>
    <w:rsid w:val="00D718E9"/>
    <w:rsid w:val="00D74EB2"/>
    <w:rsid w:val="00D753D3"/>
    <w:rsid w:val="00D75BCE"/>
    <w:rsid w:val="00D75D02"/>
    <w:rsid w:val="00D816A4"/>
    <w:rsid w:val="00D83EBA"/>
    <w:rsid w:val="00D85899"/>
    <w:rsid w:val="00D85CBE"/>
    <w:rsid w:val="00D85F67"/>
    <w:rsid w:val="00D86420"/>
    <w:rsid w:val="00D86E31"/>
    <w:rsid w:val="00D86E78"/>
    <w:rsid w:val="00D86F32"/>
    <w:rsid w:val="00D87127"/>
    <w:rsid w:val="00D87A12"/>
    <w:rsid w:val="00D87B23"/>
    <w:rsid w:val="00D87D54"/>
    <w:rsid w:val="00D87F05"/>
    <w:rsid w:val="00D91854"/>
    <w:rsid w:val="00D91B7C"/>
    <w:rsid w:val="00D91EF1"/>
    <w:rsid w:val="00D938CF"/>
    <w:rsid w:val="00D93CD0"/>
    <w:rsid w:val="00D95851"/>
    <w:rsid w:val="00D95ECB"/>
    <w:rsid w:val="00D9662A"/>
    <w:rsid w:val="00D968B8"/>
    <w:rsid w:val="00D97FC2"/>
    <w:rsid w:val="00DA05BB"/>
    <w:rsid w:val="00DA09C3"/>
    <w:rsid w:val="00DA24B7"/>
    <w:rsid w:val="00DA2DE9"/>
    <w:rsid w:val="00DA3216"/>
    <w:rsid w:val="00DA4D33"/>
    <w:rsid w:val="00DA5177"/>
    <w:rsid w:val="00DA51E8"/>
    <w:rsid w:val="00DB00B2"/>
    <w:rsid w:val="00DB086A"/>
    <w:rsid w:val="00DB1135"/>
    <w:rsid w:val="00DB1935"/>
    <w:rsid w:val="00DB19C5"/>
    <w:rsid w:val="00DB2706"/>
    <w:rsid w:val="00DB3A3F"/>
    <w:rsid w:val="00DB427A"/>
    <w:rsid w:val="00DB43E1"/>
    <w:rsid w:val="00DB48E5"/>
    <w:rsid w:val="00DB68ED"/>
    <w:rsid w:val="00DB706E"/>
    <w:rsid w:val="00DC0217"/>
    <w:rsid w:val="00DC03C7"/>
    <w:rsid w:val="00DC0C8D"/>
    <w:rsid w:val="00DC15C2"/>
    <w:rsid w:val="00DC1946"/>
    <w:rsid w:val="00DC1B7C"/>
    <w:rsid w:val="00DC2142"/>
    <w:rsid w:val="00DC46DC"/>
    <w:rsid w:val="00DC4F07"/>
    <w:rsid w:val="00DC550D"/>
    <w:rsid w:val="00DC5900"/>
    <w:rsid w:val="00DC6229"/>
    <w:rsid w:val="00DC74FA"/>
    <w:rsid w:val="00DD05C5"/>
    <w:rsid w:val="00DD1C33"/>
    <w:rsid w:val="00DD2B68"/>
    <w:rsid w:val="00DD4615"/>
    <w:rsid w:val="00DD49F4"/>
    <w:rsid w:val="00DD6AD4"/>
    <w:rsid w:val="00DD7341"/>
    <w:rsid w:val="00DE0594"/>
    <w:rsid w:val="00DE0C16"/>
    <w:rsid w:val="00DE260E"/>
    <w:rsid w:val="00DE2633"/>
    <w:rsid w:val="00DE3694"/>
    <w:rsid w:val="00DE38D9"/>
    <w:rsid w:val="00DE3CF7"/>
    <w:rsid w:val="00DE47CB"/>
    <w:rsid w:val="00DE4B4F"/>
    <w:rsid w:val="00DE5AA8"/>
    <w:rsid w:val="00DE6B47"/>
    <w:rsid w:val="00DE6E89"/>
    <w:rsid w:val="00DE758D"/>
    <w:rsid w:val="00DE7B59"/>
    <w:rsid w:val="00DE7C1F"/>
    <w:rsid w:val="00DF129B"/>
    <w:rsid w:val="00DF141A"/>
    <w:rsid w:val="00DF1601"/>
    <w:rsid w:val="00DF1955"/>
    <w:rsid w:val="00DF2554"/>
    <w:rsid w:val="00DF4584"/>
    <w:rsid w:val="00DF50DA"/>
    <w:rsid w:val="00DF6275"/>
    <w:rsid w:val="00DF71ED"/>
    <w:rsid w:val="00E01F87"/>
    <w:rsid w:val="00E02463"/>
    <w:rsid w:val="00E029A0"/>
    <w:rsid w:val="00E02B56"/>
    <w:rsid w:val="00E052D6"/>
    <w:rsid w:val="00E0572D"/>
    <w:rsid w:val="00E05D9B"/>
    <w:rsid w:val="00E06160"/>
    <w:rsid w:val="00E11426"/>
    <w:rsid w:val="00E13BDC"/>
    <w:rsid w:val="00E13F40"/>
    <w:rsid w:val="00E1504C"/>
    <w:rsid w:val="00E15640"/>
    <w:rsid w:val="00E1583E"/>
    <w:rsid w:val="00E16C5C"/>
    <w:rsid w:val="00E173F4"/>
    <w:rsid w:val="00E21713"/>
    <w:rsid w:val="00E21CDD"/>
    <w:rsid w:val="00E220D0"/>
    <w:rsid w:val="00E2246A"/>
    <w:rsid w:val="00E23010"/>
    <w:rsid w:val="00E26006"/>
    <w:rsid w:val="00E26C16"/>
    <w:rsid w:val="00E27CAD"/>
    <w:rsid w:val="00E27F37"/>
    <w:rsid w:val="00E30502"/>
    <w:rsid w:val="00E310BB"/>
    <w:rsid w:val="00E32018"/>
    <w:rsid w:val="00E3218D"/>
    <w:rsid w:val="00E353A3"/>
    <w:rsid w:val="00E3593A"/>
    <w:rsid w:val="00E371E7"/>
    <w:rsid w:val="00E37D67"/>
    <w:rsid w:val="00E42826"/>
    <w:rsid w:val="00E43AAD"/>
    <w:rsid w:val="00E44815"/>
    <w:rsid w:val="00E44B86"/>
    <w:rsid w:val="00E44F22"/>
    <w:rsid w:val="00E457B5"/>
    <w:rsid w:val="00E45FD9"/>
    <w:rsid w:val="00E469BF"/>
    <w:rsid w:val="00E46E4A"/>
    <w:rsid w:val="00E50355"/>
    <w:rsid w:val="00E51442"/>
    <w:rsid w:val="00E51927"/>
    <w:rsid w:val="00E53145"/>
    <w:rsid w:val="00E531AA"/>
    <w:rsid w:val="00E53D73"/>
    <w:rsid w:val="00E56B1E"/>
    <w:rsid w:val="00E5784E"/>
    <w:rsid w:val="00E60AE8"/>
    <w:rsid w:val="00E6197E"/>
    <w:rsid w:val="00E64317"/>
    <w:rsid w:val="00E660B7"/>
    <w:rsid w:val="00E661C4"/>
    <w:rsid w:val="00E66424"/>
    <w:rsid w:val="00E66EE2"/>
    <w:rsid w:val="00E72E9B"/>
    <w:rsid w:val="00E732F8"/>
    <w:rsid w:val="00E7366B"/>
    <w:rsid w:val="00E7381F"/>
    <w:rsid w:val="00E74032"/>
    <w:rsid w:val="00E75048"/>
    <w:rsid w:val="00E75783"/>
    <w:rsid w:val="00E76B13"/>
    <w:rsid w:val="00E76B75"/>
    <w:rsid w:val="00E808D4"/>
    <w:rsid w:val="00E85399"/>
    <w:rsid w:val="00E85AC3"/>
    <w:rsid w:val="00E902E2"/>
    <w:rsid w:val="00E9214E"/>
    <w:rsid w:val="00E9216E"/>
    <w:rsid w:val="00E922D1"/>
    <w:rsid w:val="00E927BA"/>
    <w:rsid w:val="00E947B8"/>
    <w:rsid w:val="00E96747"/>
    <w:rsid w:val="00E97F49"/>
    <w:rsid w:val="00EA0FEF"/>
    <w:rsid w:val="00EA2029"/>
    <w:rsid w:val="00EA2BAA"/>
    <w:rsid w:val="00EA2D07"/>
    <w:rsid w:val="00EA4FAD"/>
    <w:rsid w:val="00EA599F"/>
    <w:rsid w:val="00EA6411"/>
    <w:rsid w:val="00EB309A"/>
    <w:rsid w:val="00EB33A8"/>
    <w:rsid w:val="00EB3699"/>
    <w:rsid w:val="00EB5E50"/>
    <w:rsid w:val="00EB6077"/>
    <w:rsid w:val="00EB78FF"/>
    <w:rsid w:val="00EC1748"/>
    <w:rsid w:val="00EC23B4"/>
    <w:rsid w:val="00EC25A3"/>
    <w:rsid w:val="00EC2741"/>
    <w:rsid w:val="00EC2BBF"/>
    <w:rsid w:val="00EC3825"/>
    <w:rsid w:val="00EC47FE"/>
    <w:rsid w:val="00EC4D4D"/>
    <w:rsid w:val="00EC633B"/>
    <w:rsid w:val="00EC66CF"/>
    <w:rsid w:val="00EC702E"/>
    <w:rsid w:val="00EC70CF"/>
    <w:rsid w:val="00EC7D50"/>
    <w:rsid w:val="00ED01A7"/>
    <w:rsid w:val="00ED105D"/>
    <w:rsid w:val="00ED286B"/>
    <w:rsid w:val="00ED2ED7"/>
    <w:rsid w:val="00ED638A"/>
    <w:rsid w:val="00EE007A"/>
    <w:rsid w:val="00EE046F"/>
    <w:rsid w:val="00EE3D7B"/>
    <w:rsid w:val="00EE4F8C"/>
    <w:rsid w:val="00EE4FE0"/>
    <w:rsid w:val="00EE5B89"/>
    <w:rsid w:val="00EE6812"/>
    <w:rsid w:val="00EE7046"/>
    <w:rsid w:val="00EE71E5"/>
    <w:rsid w:val="00EF18F1"/>
    <w:rsid w:val="00EF2ED6"/>
    <w:rsid w:val="00EF5376"/>
    <w:rsid w:val="00EF7C47"/>
    <w:rsid w:val="00EF7C69"/>
    <w:rsid w:val="00F01A0E"/>
    <w:rsid w:val="00F05EF3"/>
    <w:rsid w:val="00F0658B"/>
    <w:rsid w:val="00F066C5"/>
    <w:rsid w:val="00F06FAC"/>
    <w:rsid w:val="00F07162"/>
    <w:rsid w:val="00F1343E"/>
    <w:rsid w:val="00F149F4"/>
    <w:rsid w:val="00F151BE"/>
    <w:rsid w:val="00F2225F"/>
    <w:rsid w:val="00F23BF6"/>
    <w:rsid w:val="00F25A5A"/>
    <w:rsid w:val="00F26166"/>
    <w:rsid w:val="00F26825"/>
    <w:rsid w:val="00F27662"/>
    <w:rsid w:val="00F27AA3"/>
    <w:rsid w:val="00F30554"/>
    <w:rsid w:val="00F3146A"/>
    <w:rsid w:val="00F3195B"/>
    <w:rsid w:val="00F34376"/>
    <w:rsid w:val="00F3445E"/>
    <w:rsid w:val="00F35339"/>
    <w:rsid w:val="00F355FC"/>
    <w:rsid w:val="00F372C4"/>
    <w:rsid w:val="00F372EE"/>
    <w:rsid w:val="00F377B2"/>
    <w:rsid w:val="00F407FB"/>
    <w:rsid w:val="00F414BC"/>
    <w:rsid w:val="00F41AF4"/>
    <w:rsid w:val="00F41D04"/>
    <w:rsid w:val="00F43A68"/>
    <w:rsid w:val="00F44A74"/>
    <w:rsid w:val="00F44E1A"/>
    <w:rsid w:val="00F46179"/>
    <w:rsid w:val="00F46F90"/>
    <w:rsid w:val="00F46FAA"/>
    <w:rsid w:val="00F504F0"/>
    <w:rsid w:val="00F55326"/>
    <w:rsid w:val="00F5558B"/>
    <w:rsid w:val="00F56A17"/>
    <w:rsid w:val="00F56A3E"/>
    <w:rsid w:val="00F6146B"/>
    <w:rsid w:val="00F617B3"/>
    <w:rsid w:val="00F62A37"/>
    <w:rsid w:val="00F64A01"/>
    <w:rsid w:val="00F64FB7"/>
    <w:rsid w:val="00F66455"/>
    <w:rsid w:val="00F671D8"/>
    <w:rsid w:val="00F702A6"/>
    <w:rsid w:val="00F726EC"/>
    <w:rsid w:val="00F746EA"/>
    <w:rsid w:val="00F74EB1"/>
    <w:rsid w:val="00F7593B"/>
    <w:rsid w:val="00F772A6"/>
    <w:rsid w:val="00F77B9D"/>
    <w:rsid w:val="00F81C47"/>
    <w:rsid w:val="00F82637"/>
    <w:rsid w:val="00F8398B"/>
    <w:rsid w:val="00F845D8"/>
    <w:rsid w:val="00F849D0"/>
    <w:rsid w:val="00F84F00"/>
    <w:rsid w:val="00F85073"/>
    <w:rsid w:val="00F86C84"/>
    <w:rsid w:val="00F87A25"/>
    <w:rsid w:val="00F87FAE"/>
    <w:rsid w:val="00F91230"/>
    <w:rsid w:val="00F91CCC"/>
    <w:rsid w:val="00F93623"/>
    <w:rsid w:val="00F9741A"/>
    <w:rsid w:val="00FA036D"/>
    <w:rsid w:val="00FA2289"/>
    <w:rsid w:val="00FA31D1"/>
    <w:rsid w:val="00FA63E7"/>
    <w:rsid w:val="00FA79D4"/>
    <w:rsid w:val="00FB3D53"/>
    <w:rsid w:val="00FB4C17"/>
    <w:rsid w:val="00FB77F6"/>
    <w:rsid w:val="00FB78C2"/>
    <w:rsid w:val="00FC08D7"/>
    <w:rsid w:val="00FC12EB"/>
    <w:rsid w:val="00FC1C68"/>
    <w:rsid w:val="00FC288F"/>
    <w:rsid w:val="00FC590C"/>
    <w:rsid w:val="00FD0608"/>
    <w:rsid w:val="00FD1F1B"/>
    <w:rsid w:val="00FD2250"/>
    <w:rsid w:val="00FD2450"/>
    <w:rsid w:val="00FD29F6"/>
    <w:rsid w:val="00FD3D7D"/>
    <w:rsid w:val="00FD40B0"/>
    <w:rsid w:val="00FD78CF"/>
    <w:rsid w:val="00FD78FD"/>
    <w:rsid w:val="00FD7C2F"/>
    <w:rsid w:val="00FE0DB8"/>
    <w:rsid w:val="00FE1948"/>
    <w:rsid w:val="00FE3F56"/>
    <w:rsid w:val="00FE4687"/>
    <w:rsid w:val="00FE6243"/>
    <w:rsid w:val="00FE7836"/>
    <w:rsid w:val="00FF1792"/>
    <w:rsid w:val="00FF1AF7"/>
    <w:rsid w:val="00FF3F1C"/>
    <w:rsid w:val="00FF6545"/>
    <w:rsid w:val="00FF70AB"/>
    <w:rsid w:val="00FF7E2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0C67D-AA7C-4F1E-A889-42897539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,Dot pt,F5 List Paragraph,List Paragraph1,Colorful List - Accent 11,No Spacing1,List Paragraph Char Char Char,Indicator Text,Numbered Para 1,Bullet 1,Bullet Points,List Paragraph2,MAIN CONTENT,OBC Bullet,List Paragraph12"/>
    <w:basedOn w:val="Normal"/>
    <w:link w:val="ListParagraphChar"/>
    <w:uiPriority w:val="34"/>
    <w:qFormat/>
    <w:rsid w:val="0047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6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F39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8F3965"/>
    <w:pPr>
      <w:spacing w:after="0" w:line="240" w:lineRule="auto"/>
    </w:pPr>
  </w:style>
  <w:style w:type="character" w:customStyle="1" w:styleId="ListParagraphChar">
    <w:name w:val="List Paragraph Char"/>
    <w:aliases w:val="heading 9 Char,Dot pt Char,F5 List Paragraph Char,List Paragraph1 Char,Colorful List - Accent 11 Char,No Spacing1 Char,List Paragraph Char Char Char Char,Indicator Text Char,Numbered Para 1 Char,Bullet 1 Char,Bullet Points Char"/>
    <w:basedOn w:val="DefaultParagraphFont"/>
    <w:link w:val="ListParagraph"/>
    <w:uiPriority w:val="34"/>
    <w:locked/>
    <w:rsid w:val="00B927C3"/>
  </w:style>
  <w:style w:type="paragraph" w:styleId="Header">
    <w:name w:val="header"/>
    <w:basedOn w:val="Normal"/>
    <w:link w:val="HeaderChar"/>
    <w:uiPriority w:val="99"/>
    <w:unhideWhenUsed/>
    <w:rsid w:val="00D2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D3"/>
  </w:style>
  <w:style w:type="paragraph" w:styleId="Footer">
    <w:name w:val="footer"/>
    <w:basedOn w:val="Normal"/>
    <w:link w:val="FooterChar"/>
    <w:uiPriority w:val="99"/>
    <w:unhideWhenUsed/>
    <w:rsid w:val="00D2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D3"/>
  </w:style>
  <w:style w:type="paragraph" w:styleId="NormalWeb">
    <w:name w:val="Normal (Web)"/>
    <w:basedOn w:val="Normal"/>
    <w:uiPriority w:val="99"/>
    <w:semiHidden/>
    <w:unhideWhenUsed/>
    <w:rsid w:val="0081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12549"/>
    <w:rPr>
      <w:b/>
      <w:bCs/>
    </w:rPr>
  </w:style>
  <w:style w:type="character" w:styleId="Emphasis">
    <w:name w:val="Emphasis"/>
    <w:basedOn w:val="DefaultParagraphFont"/>
    <w:uiPriority w:val="20"/>
    <w:qFormat/>
    <w:rsid w:val="00190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F78A-6CE3-4D33-A32D-52570E89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capexiluser</dc:creator>
  <cp:lastModifiedBy>Priyanka</cp:lastModifiedBy>
  <cp:revision>29</cp:revision>
  <cp:lastPrinted>2023-02-20T08:35:00Z</cp:lastPrinted>
  <dcterms:created xsi:type="dcterms:W3CDTF">2023-03-20T05:39:00Z</dcterms:created>
  <dcterms:modified xsi:type="dcterms:W3CDTF">2023-03-20T11:27:00Z</dcterms:modified>
</cp:coreProperties>
</file>