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01140AA2" wp14:editId="78E893A2">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E2127B" w:rsidP="000C0413">
      <w:pPr>
        <w:spacing w:after="0" w:line="240" w:lineRule="auto"/>
        <w:jc w:val="center"/>
        <w:rPr>
          <w:rFonts w:asciiTheme="majorHAnsi" w:hAnsiTheme="majorHAnsi" w:cs="Arial"/>
          <w:b/>
          <w:bCs/>
          <w:sz w:val="32"/>
          <w:shd w:val="clear" w:color="auto" w:fill="FFFFFF"/>
        </w:rPr>
      </w:pPr>
      <w:r>
        <w:rPr>
          <w:rFonts w:asciiTheme="majorHAnsi" w:hAnsiTheme="majorHAnsi" w:cs="Arial"/>
          <w:b/>
          <w:bCs/>
          <w:sz w:val="32"/>
          <w:shd w:val="clear" w:color="auto" w:fill="FFFFFF"/>
        </w:rPr>
        <w:t>LIST OF PENDING ISSUES</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0C0413" w:rsidRPr="003615DF" w:rsidTr="00D61F89">
        <w:trPr>
          <w:trHeight w:val="230"/>
          <w:jc w:val="center"/>
        </w:trPr>
        <w:tc>
          <w:tcPr>
            <w:tcW w:w="15174" w:type="dxa"/>
            <w:gridSpan w:val="2"/>
          </w:tcPr>
          <w:p w:rsidR="000C0413" w:rsidRDefault="000C0413" w:rsidP="003615DF">
            <w:pPr>
              <w:jc w:val="center"/>
              <w:rPr>
                <w:rFonts w:asciiTheme="majorHAnsi" w:hAnsiTheme="majorHAnsi" w:cs="Arial"/>
                <w:b/>
              </w:rPr>
            </w:pPr>
            <w:r w:rsidRPr="00EB1185">
              <w:rPr>
                <w:rFonts w:asciiTheme="majorHAnsi" w:hAnsiTheme="majorHAnsi" w:cs="Arial"/>
                <w:b/>
                <w:sz w:val="28"/>
              </w:rPr>
              <w:t>Plywood and Allied Products Panel</w:t>
            </w:r>
          </w:p>
        </w:tc>
      </w:tr>
      <w:tr w:rsidR="001F7A2A" w:rsidRPr="003615DF" w:rsidTr="001F7A2A">
        <w:trPr>
          <w:trHeight w:val="230"/>
          <w:jc w:val="center"/>
        </w:trPr>
        <w:tc>
          <w:tcPr>
            <w:tcW w:w="3514" w:type="dxa"/>
          </w:tcPr>
          <w:p w:rsidR="001F7A2A" w:rsidRPr="003615DF" w:rsidRDefault="001F7A2A" w:rsidP="003615DF">
            <w:pPr>
              <w:jc w:val="center"/>
              <w:rPr>
                <w:rFonts w:asciiTheme="majorHAnsi" w:hAnsiTheme="majorHAnsi" w:cs="Arial"/>
                <w:b/>
              </w:rPr>
            </w:pPr>
            <w:r w:rsidRPr="003615DF">
              <w:rPr>
                <w:rFonts w:asciiTheme="majorHAnsi" w:hAnsiTheme="majorHAnsi" w:cs="Arial"/>
                <w:b/>
              </w:rPr>
              <w:t>Issues</w:t>
            </w:r>
          </w:p>
        </w:tc>
        <w:tc>
          <w:tcPr>
            <w:tcW w:w="11660" w:type="dxa"/>
          </w:tcPr>
          <w:p w:rsidR="001F7A2A" w:rsidRPr="003615DF" w:rsidRDefault="0009613C" w:rsidP="003615DF">
            <w:pPr>
              <w:jc w:val="center"/>
              <w:rPr>
                <w:rFonts w:asciiTheme="majorHAnsi" w:hAnsiTheme="majorHAnsi" w:cs="Arial"/>
                <w:b/>
              </w:rPr>
            </w:pPr>
            <w:r>
              <w:rPr>
                <w:rFonts w:asciiTheme="majorHAnsi" w:hAnsiTheme="majorHAnsi" w:cs="Arial"/>
                <w:b/>
              </w:rPr>
              <w:t>Description and Status of the Issues</w:t>
            </w:r>
          </w:p>
        </w:tc>
      </w:tr>
      <w:tr w:rsidR="001F7A2A" w:rsidRPr="003615DF" w:rsidTr="001F7A2A">
        <w:trPr>
          <w:trHeight w:val="230"/>
          <w:jc w:val="center"/>
        </w:trPr>
        <w:tc>
          <w:tcPr>
            <w:tcW w:w="3514" w:type="dxa"/>
            <w:shd w:val="clear" w:color="auto" w:fill="auto"/>
          </w:tcPr>
          <w:p w:rsidR="001F7A2A" w:rsidRPr="0034281B" w:rsidRDefault="001F7A2A" w:rsidP="003615DF">
            <w:pPr>
              <w:jc w:val="both"/>
              <w:rPr>
                <w:rFonts w:asciiTheme="majorHAnsi" w:hAnsiTheme="majorHAnsi" w:cs="Arial"/>
              </w:rPr>
            </w:pPr>
            <w:r w:rsidRPr="0034281B">
              <w:rPr>
                <w:rFonts w:asciiTheme="majorHAnsi" w:hAnsiTheme="majorHAnsi" w:cs="Arial"/>
              </w:rPr>
              <w:t>1) Value Addition for export of Sawn Timber to be worked out from 30% to 15% in line with other products</w:t>
            </w:r>
          </w:p>
        </w:tc>
        <w:tc>
          <w:tcPr>
            <w:tcW w:w="11660" w:type="dxa"/>
            <w:shd w:val="clear" w:color="auto" w:fill="auto"/>
          </w:tcPr>
          <w:p w:rsidR="001F7A2A" w:rsidRPr="0034281B" w:rsidRDefault="001F7A2A" w:rsidP="00506B14">
            <w:pPr>
              <w:jc w:val="both"/>
              <w:rPr>
                <w:rFonts w:asciiTheme="majorHAnsi" w:hAnsiTheme="majorHAnsi" w:cs="Arial"/>
              </w:rPr>
            </w:pPr>
            <w:r w:rsidRPr="0034281B">
              <w:rPr>
                <w:rFonts w:asciiTheme="majorHAnsi" w:hAnsiTheme="majorHAnsi" w:cs="Arial"/>
              </w:rPr>
              <w:t xml:space="preserve">This issue has been placed to ministry. As advised by </w:t>
            </w:r>
            <w:proofErr w:type="gramStart"/>
            <w:r w:rsidRPr="0034281B">
              <w:rPr>
                <w:rFonts w:asciiTheme="majorHAnsi" w:hAnsiTheme="majorHAnsi" w:cs="Arial"/>
              </w:rPr>
              <w:t>JS(</w:t>
            </w:r>
            <w:proofErr w:type="gramEnd"/>
            <w:r w:rsidRPr="0034281B">
              <w:rPr>
                <w:rFonts w:asciiTheme="majorHAnsi" w:hAnsiTheme="majorHAnsi" w:cs="Arial"/>
              </w:rPr>
              <w:t xml:space="preserve">SK) the name of the IG Forest along with a suggested draft letter in order to take up the issue with the Ministry of Environment and Forest has been forwarded to the MOC. </w:t>
            </w:r>
          </w:p>
        </w:tc>
      </w:tr>
      <w:tr w:rsidR="001F7A2A" w:rsidRPr="003615DF" w:rsidTr="001F7A2A">
        <w:trPr>
          <w:trHeight w:val="230"/>
          <w:jc w:val="center"/>
        </w:trPr>
        <w:tc>
          <w:tcPr>
            <w:tcW w:w="3514" w:type="dxa"/>
            <w:shd w:val="clear" w:color="auto" w:fill="auto"/>
          </w:tcPr>
          <w:p w:rsidR="001F7A2A" w:rsidRPr="0034281B" w:rsidRDefault="001F7A2A" w:rsidP="003615DF">
            <w:pPr>
              <w:jc w:val="both"/>
              <w:rPr>
                <w:rFonts w:asciiTheme="majorHAnsi" w:hAnsiTheme="majorHAnsi" w:cs="Arial"/>
              </w:rPr>
            </w:pPr>
            <w:r w:rsidRPr="0034281B">
              <w:rPr>
                <w:rFonts w:asciiTheme="majorHAnsi" w:hAnsiTheme="majorHAnsi" w:cs="Arial"/>
              </w:rPr>
              <w:t>2) Re-export of imported sawn timbers freely</w:t>
            </w:r>
          </w:p>
        </w:tc>
        <w:tc>
          <w:tcPr>
            <w:tcW w:w="11660" w:type="dxa"/>
            <w:shd w:val="clear" w:color="auto" w:fill="auto"/>
          </w:tcPr>
          <w:p w:rsidR="001F7A2A" w:rsidRPr="0034281B" w:rsidRDefault="001F7A2A" w:rsidP="00054432">
            <w:pPr>
              <w:jc w:val="both"/>
              <w:rPr>
                <w:rFonts w:asciiTheme="majorHAnsi" w:hAnsiTheme="majorHAnsi" w:cs="Arial"/>
              </w:rPr>
            </w:pPr>
            <w:r w:rsidRPr="0034281B">
              <w:rPr>
                <w:rFonts w:asciiTheme="majorHAnsi" w:hAnsiTheme="majorHAnsi" w:cs="Arial"/>
              </w:rPr>
              <w:t xml:space="preserve">As advised by </w:t>
            </w:r>
            <w:proofErr w:type="gramStart"/>
            <w:r w:rsidRPr="0034281B">
              <w:rPr>
                <w:rFonts w:asciiTheme="majorHAnsi" w:hAnsiTheme="majorHAnsi" w:cs="Arial"/>
              </w:rPr>
              <w:t>JS(</w:t>
            </w:r>
            <w:proofErr w:type="gramEnd"/>
            <w:r w:rsidRPr="0034281B">
              <w:rPr>
                <w:rFonts w:asciiTheme="majorHAnsi" w:hAnsiTheme="majorHAnsi" w:cs="Arial"/>
              </w:rPr>
              <w:t>SK) a detailed note on this issue has been sent to ministry.</w:t>
            </w:r>
          </w:p>
        </w:tc>
      </w:tr>
      <w:tr w:rsidR="001F7A2A" w:rsidRPr="003615DF" w:rsidTr="001F7A2A">
        <w:trPr>
          <w:trHeight w:val="230"/>
          <w:jc w:val="center"/>
        </w:trPr>
        <w:tc>
          <w:tcPr>
            <w:tcW w:w="3514" w:type="dxa"/>
            <w:shd w:val="clear" w:color="auto" w:fill="auto"/>
          </w:tcPr>
          <w:p w:rsidR="001F7A2A" w:rsidRPr="0034281B" w:rsidRDefault="001F7A2A" w:rsidP="003615DF">
            <w:pPr>
              <w:jc w:val="both"/>
              <w:rPr>
                <w:rFonts w:asciiTheme="majorHAnsi" w:hAnsiTheme="majorHAnsi" w:cs="Arial"/>
              </w:rPr>
            </w:pPr>
            <w:r w:rsidRPr="0034281B">
              <w:rPr>
                <w:rFonts w:asciiTheme="majorHAnsi" w:hAnsiTheme="majorHAnsi" w:cs="Arial"/>
              </w:rPr>
              <w:t>3) Relaxation regarding fumigation of Wood and Wood Products</w:t>
            </w:r>
          </w:p>
        </w:tc>
        <w:tc>
          <w:tcPr>
            <w:tcW w:w="11660" w:type="dxa"/>
            <w:shd w:val="clear" w:color="auto" w:fill="auto"/>
          </w:tcPr>
          <w:p w:rsidR="001F7A2A" w:rsidRPr="0034281B" w:rsidRDefault="001F7A2A" w:rsidP="0002037C">
            <w:pPr>
              <w:jc w:val="both"/>
              <w:rPr>
                <w:rFonts w:asciiTheme="majorHAnsi" w:hAnsiTheme="majorHAnsi" w:cs="Arial"/>
              </w:rPr>
            </w:pPr>
            <w:r w:rsidRPr="0034281B">
              <w:rPr>
                <w:rFonts w:asciiTheme="majorHAnsi" w:hAnsiTheme="majorHAnsi" w:cs="Arial"/>
              </w:rPr>
              <w:t xml:space="preserve">As advised by </w:t>
            </w:r>
            <w:proofErr w:type="gramStart"/>
            <w:r w:rsidRPr="0034281B">
              <w:rPr>
                <w:rFonts w:asciiTheme="majorHAnsi" w:hAnsiTheme="majorHAnsi" w:cs="Arial"/>
              </w:rPr>
              <w:t>JS(</w:t>
            </w:r>
            <w:proofErr w:type="gramEnd"/>
            <w:r w:rsidRPr="0034281B">
              <w:rPr>
                <w:rFonts w:asciiTheme="majorHAnsi" w:hAnsiTheme="majorHAnsi" w:cs="Arial"/>
              </w:rPr>
              <w:t>SK) a draft letter has been sent to ministry for taking up the matter with Ministry of Agriculture.</w:t>
            </w:r>
          </w:p>
        </w:tc>
      </w:tr>
      <w:tr w:rsidR="001F7A2A" w:rsidRPr="003615DF" w:rsidTr="001F7A2A">
        <w:trPr>
          <w:trHeight w:val="230"/>
          <w:jc w:val="center"/>
        </w:trPr>
        <w:tc>
          <w:tcPr>
            <w:tcW w:w="3514" w:type="dxa"/>
            <w:shd w:val="clear" w:color="auto" w:fill="auto"/>
          </w:tcPr>
          <w:p w:rsidR="001F7A2A" w:rsidRPr="0034281B" w:rsidRDefault="001F7A2A" w:rsidP="0078789C">
            <w:pPr>
              <w:jc w:val="both"/>
              <w:rPr>
                <w:rFonts w:asciiTheme="majorHAnsi" w:hAnsiTheme="majorHAnsi" w:cs="Arial"/>
              </w:rPr>
            </w:pPr>
            <w:r w:rsidRPr="0034281B">
              <w:rPr>
                <w:rFonts w:asciiTheme="majorHAnsi" w:hAnsiTheme="majorHAnsi" w:cs="Arial"/>
              </w:rPr>
              <w:t>4) Difficulty in getting the AA closed &amp; issuance of EODC in time</w:t>
            </w:r>
          </w:p>
        </w:tc>
        <w:tc>
          <w:tcPr>
            <w:tcW w:w="11660" w:type="dxa"/>
            <w:shd w:val="clear" w:color="auto" w:fill="auto"/>
          </w:tcPr>
          <w:p w:rsidR="001F7A2A" w:rsidRPr="0034281B" w:rsidRDefault="001F7A2A" w:rsidP="0078789C">
            <w:pPr>
              <w:jc w:val="both"/>
              <w:rPr>
                <w:rFonts w:asciiTheme="majorHAnsi" w:hAnsiTheme="majorHAnsi" w:cs="Arial"/>
              </w:rPr>
            </w:pPr>
            <w:r w:rsidRPr="0034281B">
              <w:rPr>
                <w:rFonts w:asciiTheme="majorHAnsi" w:hAnsiTheme="majorHAnsi" w:cs="Arial"/>
              </w:rPr>
              <w:t xml:space="preserve">Exporters of sawn timbers are facing difficulty in getting the AA closed &amp; issuance of EODC in time, in spite of having completed the export obligation in time. This </w:t>
            </w:r>
            <w:proofErr w:type="gramStart"/>
            <w:r w:rsidRPr="0034281B">
              <w:rPr>
                <w:rFonts w:asciiTheme="majorHAnsi" w:hAnsiTheme="majorHAnsi" w:cs="Arial"/>
              </w:rPr>
              <w:t>causes</w:t>
            </w:r>
            <w:proofErr w:type="gramEnd"/>
            <w:r w:rsidRPr="0034281B">
              <w:rPr>
                <w:rFonts w:asciiTheme="majorHAnsi" w:hAnsiTheme="majorHAnsi" w:cs="Arial"/>
              </w:rPr>
              <w:t xml:space="preserve"> avoidable delay in getting the fresh Authorization &amp; import of raw materials becomes costly &amp; causes the unwanted hurdles in the export trade. In the process, the ease of doing export is scarified.</w:t>
            </w:r>
          </w:p>
        </w:tc>
      </w:tr>
      <w:tr w:rsidR="001F7A2A" w:rsidRPr="003615DF" w:rsidTr="001F7A2A">
        <w:trPr>
          <w:trHeight w:val="230"/>
          <w:jc w:val="center"/>
        </w:trPr>
        <w:tc>
          <w:tcPr>
            <w:tcW w:w="3514" w:type="dxa"/>
            <w:shd w:val="clear" w:color="auto" w:fill="auto"/>
          </w:tcPr>
          <w:p w:rsidR="001F7A2A" w:rsidRPr="0034281B" w:rsidRDefault="001F7A2A" w:rsidP="0078789C">
            <w:pPr>
              <w:jc w:val="both"/>
              <w:rPr>
                <w:rFonts w:asciiTheme="majorHAnsi" w:hAnsiTheme="majorHAnsi" w:cs="Arial"/>
              </w:rPr>
            </w:pPr>
            <w:r w:rsidRPr="0034281B">
              <w:rPr>
                <w:rFonts w:asciiTheme="majorHAnsi" w:hAnsiTheme="majorHAnsi" w:cs="Arial"/>
              </w:rPr>
              <w:t>5) Port Notification</w:t>
            </w:r>
          </w:p>
        </w:tc>
        <w:tc>
          <w:tcPr>
            <w:tcW w:w="11660" w:type="dxa"/>
            <w:shd w:val="clear" w:color="auto" w:fill="auto"/>
          </w:tcPr>
          <w:p w:rsidR="001F7A2A" w:rsidRPr="0034281B" w:rsidRDefault="001F7A2A" w:rsidP="0078789C">
            <w:pPr>
              <w:jc w:val="both"/>
              <w:rPr>
                <w:rFonts w:asciiTheme="majorHAnsi" w:hAnsiTheme="majorHAnsi" w:cs="Arial"/>
              </w:rPr>
            </w:pPr>
            <w:r w:rsidRPr="0034281B">
              <w:rPr>
                <w:rFonts w:asciiTheme="majorHAnsi" w:hAnsiTheme="majorHAnsi" w:cs="Arial"/>
              </w:rPr>
              <w:t>The Cochin port need to be notified for the purpose of the export of Sawn timbers</w:t>
            </w:r>
            <w:r w:rsidRPr="00333EC8">
              <w:rPr>
                <w:rFonts w:asciiTheme="majorHAnsi" w:hAnsiTheme="majorHAnsi" w:cs="Arial"/>
                <w:b/>
              </w:rPr>
              <w:t>.</w:t>
            </w:r>
            <w:r w:rsidR="00333EC8" w:rsidRPr="00333EC8">
              <w:rPr>
                <w:rFonts w:asciiTheme="majorHAnsi" w:hAnsiTheme="majorHAnsi" w:cs="Arial"/>
                <w:b/>
              </w:rPr>
              <w:t xml:space="preserve"> </w:t>
            </w:r>
            <w:r w:rsidR="00333EC8" w:rsidRPr="00333EC8">
              <w:rPr>
                <w:rFonts w:asciiTheme="majorHAnsi" w:hAnsiTheme="majorHAnsi" w:cs="Arial"/>
              </w:rPr>
              <w:t>In fact all ports in India need to be notified for the purpose of the export of Sawn Timber.</w:t>
            </w:r>
          </w:p>
        </w:tc>
      </w:tr>
      <w:tr w:rsidR="001F7A2A" w:rsidRPr="003615DF" w:rsidTr="001F7A2A">
        <w:trPr>
          <w:trHeight w:val="230"/>
          <w:jc w:val="center"/>
        </w:trPr>
        <w:tc>
          <w:tcPr>
            <w:tcW w:w="3514" w:type="dxa"/>
            <w:shd w:val="clear" w:color="auto" w:fill="auto"/>
          </w:tcPr>
          <w:p w:rsidR="001F7A2A" w:rsidRPr="0034281B" w:rsidRDefault="001F7A2A" w:rsidP="0078789C">
            <w:pPr>
              <w:jc w:val="both"/>
              <w:rPr>
                <w:rFonts w:asciiTheme="majorHAnsi" w:hAnsiTheme="majorHAnsi" w:cs="Arial"/>
              </w:rPr>
            </w:pPr>
            <w:r w:rsidRPr="0034281B">
              <w:rPr>
                <w:rFonts w:asciiTheme="majorHAnsi" w:hAnsiTheme="majorHAnsi" w:cs="Arial"/>
              </w:rPr>
              <w:t xml:space="preserve">6) Proposal to include the entire </w:t>
            </w:r>
            <w:proofErr w:type="spellStart"/>
            <w:r w:rsidRPr="0034281B">
              <w:rPr>
                <w:rFonts w:asciiTheme="majorHAnsi" w:hAnsiTheme="majorHAnsi" w:cs="Arial"/>
              </w:rPr>
              <w:t>Dalbergia</w:t>
            </w:r>
            <w:proofErr w:type="spellEnd"/>
            <w:r w:rsidRPr="0034281B">
              <w:rPr>
                <w:rFonts w:asciiTheme="majorHAnsi" w:hAnsiTheme="majorHAnsi" w:cs="Arial"/>
              </w:rPr>
              <w:t xml:space="preserve"> (Rose Wood) family including their higher taxon in CITES Appendix II with exception to the species included in Appendix I-reg.</w:t>
            </w:r>
          </w:p>
        </w:tc>
        <w:tc>
          <w:tcPr>
            <w:tcW w:w="11660" w:type="dxa"/>
            <w:shd w:val="clear" w:color="auto" w:fill="auto"/>
          </w:tcPr>
          <w:p w:rsidR="001F7A2A" w:rsidRPr="0034281B" w:rsidRDefault="001F7A2A" w:rsidP="0078789C">
            <w:pPr>
              <w:jc w:val="both"/>
              <w:rPr>
                <w:rFonts w:asciiTheme="majorHAnsi" w:hAnsiTheme="majorHAnsi" w:cs="Arial"/>
              </w:rPr>
            </w:pPr>
            <w:r w:rsidRPr="0034281B">
              <w:rPr>
                <w:rFonts w:asciiTheme="majorHAnsi" w:hAnsiTheme="majorHAnsi" w:cs="Arial"/>
              </w:rPr>
              <w:t xml:space="preserve">ED CAPEXIL had a meeting with Dr. S.K. </w:t>
            </w:r>
            <w:proofErr w:type="spellStart"/>
            <w:r w:rsidRPr="0034281B">
              <w:rPr>
                <w:rFonts w:asciiTheme="majorHAnsi" w:hAnsiTheme="majorHAnsi" w:cs="Arial"/>
              </w:rPr>
              <w:t>Khanduri</w:t>
            </w:r>
            <w:proofErr w:type="spellEnd"/>
            <w:r w:rsidRPr="0034281B">
              <w:rPr>
                <w:rFonts w:asciiTheme="majorHAnsi" w:hAnsiTheme="majorHAnsi" w:cs="Arial"/>
              </w:rPr>
              <w:t xml:space="preserve"> (WL) Inspector General of Forests, Ministry of Environment, Forest and Climate Change on 4th October, 2016.</w:t>
            </w:r>
          </w:p>
          <w:p w:rsidR="001F7A2A" w:rsidRPr="0034281B" w:rsidRDefault="001F7A2A" w:rsidP="0078789C">
            <w:pPr>
              <w:jc w:val="both"/>
              <w:rPr>
                <w:rFonts w:asciiTheme="majorHAnsi" w:hAnsiTheme="majorHAnsi" w:cs="Arial"/>
              </w:rPr>
            </w:pPr>
          </w:p>
          <w:p w:rsidR="001F7A2A" w:rsidRPr="0034281B" w:rsidRDefault="001F7A2A" w:rsidP="0002491A">
            <w:pPr>
              <w:jc w:val="both"/>
              <w:rPr>
                <w:rFonts w:asciiTheme="majorHAnsi" w:hAnsiTheme="majorHAnsi" w:cs="Arial"/>
              </w:rPr>
            </w:pPr>
            <w:r w:rsidRPr="0034281B">
              <w:rPr>
                <w:rFonts w:asciiTheme="majorHAnsi" w:hAnsiTheme="majorHAnsi" w:cs="Arial"/>
              </w:rPr>
              <w:t xml:space="preserve">Panel Chairman along with CAPEXIL secretariat had a 2nd meeting with Dr. S. Rajesh, Regional Deputy Director (NR), Assistant Management Authority-CITES, </w:t>
            </w:r>
            <w:proofErr w:type="gramStart"/>
            <w:r w:rsidRPr="0034281B">
              <w:rPr>
                <w:rFonts w:asciiTheme="majorHAnsi" w:hAnsiTheme="majorHAnsi" w:cs="Arial"/>
              </w:rPr>
              <w:t>Wildlife</w:t>
            </w:r>
            <w:proofErr w:type="gramEnd"/>
            <w:r w:rsidRPr="0034281B">
              <w:rPr>
                <w:rFonts w:asciiTheme="majorHAnsi" w:hAnsiTheme="majorHAnsi" w:cs="Arial"/>
              </w:rPr>
              <w:t xml:space="preserve"> Crime Control Bureau (WCCB). It was indicated in the meeting that so far no communication from the Ministry of Environment, Forest and Climate Change has been received and only after receipt of the said Communication/Notification the issue will be dealt with suitably.</w:t>
            </w:r>
          </w:p>
          <w:p w:rsidR="001F7A2A" w:rsidRPr="0034281B" w:rsidRDefault="001F7A2A" w:rsidP="0002491A">
            <w:pPr>
              <w:jc w:val="both"/>
              <w:rPr>
                <w:rFonts w:asciiTheme="majorHAnsi" w:hAnsiTheme="majorHAnsi" w:cs="Arial"/>
              </w:rPr>
            </w:pPr>
          </w:p>
          <w:p w:rsidR="001F7A2A" w:rsidRPr="0034281B" w:rsidRDefault="001F7A2A" w:rsidP="0002037C">
            <w:pPr>
              <w:jc w:val="both"/>
              <w:rPr>
                <w:rFonts w:asciiTheme="majorHAnsi" w:hAnsiTheme="majorHAnsi" w:cs="Arial"/>
              </w:rPr>
            </w:pPr>
            <w:r w:rsidRPr="0034281B">
              <w:rPr>
                <w:rFonts w:asciiTheme="majorHAnsi" w:hAnsiTheme="majorHAnsi" w:cs="Arial"/>
              </w:rPr>
              <w:t xml:space="preserve">Based on the decision taken in the meeting at New Delhi on 8th February 2017, Council has prepared and sent specimen of Comparable document pertaining to CITES and requested Dr. Suresh Chandra </w:t>
            </w:r>
            <w:proofErr w:type="spellStart"/>
            <w:r w:rsidRPr="0034281B">
              <w:rPr>
                <w:rFonts w:asciiTheme="majorHAnsi" w:hAnsiTheme="majorHAnsi" w:cs="Arial"/>
              </w:rPr>
              <w:t>Gairola</w:t>
            </w:r>
            <w:proofErr w:type="spellEnd"/>
            <w:r w:rsidRPr="0034281B">
              <w:rPr>
                <w:rFonts w:asciiTheme="majorHAnsi" w:hAnsiTheme="majorHAnsi" w:cs="Arial"/>
              </w:rPr>
              <w:t>, Additional Director General of Forest, Ministry of Environment, Forest &amp; Climate Change, Government of India, New Delhi to kindly consider the same and include CAPEXIL also along with EPCH &amp; Wild Life Crime Control Bureau as competent authority to issue comparable certificates according to Article X of the CITES.  Feedback is awaited.</w:t>
            </w:r>
          </w:p>
        </w:tc>
      </w:tr>
    </w:tbl>
    <w:p w:rsidR="007B1408" w:rsidRPr="003615DF" w:rsidRDefault="007B1408" w:rsidP="00297C95">
      <w:pPr>
        <w:spacing w:after="0" w:line="240" w:lineRule="auto"/>
        <w:jc w:val="center"/>
        <w:rPr>
          <w:rFonts w:asciiTheme="majorHAnsi" w:hAnsiTheme="majorHAnsi" w:cs="Arial"/>
        </w:rPr>
      </w:pPr>
      <w:bookmarkStart w:id="0" w:name="_GoBack"/>
      <w:bookmarkEnd w:id="0"/>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7E" w:rsidRDefault="00D2377E" w:rsidP="002B073E">
      <w:pPr>
        <w:spacing w:after="0" w:line="240" w:lineRule="auto"/>
      </w:pPr>
      <w:r>
        <w:separator/>
      </w:r>
    </w:p>
  </w:endnote>
  <w:endnote w:type="continuationSeparator" w:id="0">
    <w:p w:rsidR="00D2377E" w:rsidRDefault="00D2377E"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E2127B">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7E" w:rsidRDefault="00D2377E" w:rsidP="002B073E">
      <w:pPr>
        <w:spacing w:after="0" w:line="240" w:lineRule="auto"/>
      </w:pPr>
      <w:r>
        <w:separator/>
      </w:r>
    </w:p>
  </w:footnote>
  <w:footnote w:type="continuationSeparator" w:id="0">
    <w:p w:rsidR="00D2377E" w:rsidRDefault="00D2377E"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2377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2127B"/>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2017-09-04T10:10:00Z</dcterms:modified>
</cp:coreProperties>
</file>