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D06F8E">
        <w:trPr>
          <w:cantSplit/>
          <w:trHeight w:val="260"/>
          <w:jc w:val="center"/>
        </w:trPr>
        <w:tc>
          <w:tcPr>
            <w:tcW w:w="15174" w:type="dxa"/>
            <w:gridSpan w:val="2"/>
          </w:tcPr>
          <w:p w:rsidR="001F7A2A" w:rsidRPr="001F7A2A" w:rsidRDefault="001F7A2A" w:rsidP="00ED0077">
            <w:pPr>
              <w:widowControl w:val="0"/>
              <w:autoSpaceDE w:val="0"/>
              <w:autoSpaceDN w:val="0"/>
              <w:adjustRightInd w:val="0"/>
              <w:jc w:val="center"/>
              <w:rPr>
                <w:rFonts w:asciiTheme="majorHAnsi" w:eastAsiaTheme="minorEastAsia" w:hAnsiTheme="majorHAnsi" w:cs="Arial"/>
                <w:b/>
                <w:lang w:val="en-IN" w:eastAsia="en-IN"/>
              </w:rPr>
            </w:pPr>
            <w:r w:rsidRPr="00661736">
              <w:rPr>
                <w:rFonts w:asciiTheme="majorHAnsi" w:hAnsiTheme="majorHAnsi" w:cs="Arial"/>
                <w:b/>
                <w:sz w:val="28"/>
                <w:szCs w:val="16"/>
              </w:rPr>
              <w:t>Paints, Varnish &amp;  Allied Product</w:t>
            </w:r>
          </w:p>
        </w:tc>
      </w:tr>
      <w:tr w:rsidR="001F7A2A" w:rsidRPr="003615DF" w:rsidTr="001F7A2A">
        <w:trPr>
          <w:cantSplit/>
          <w:trHeight w:val="864"/>
          <w:jc w:val="center"/>
        </w:trPr>
        <w:tc>
          <w:tcPr>
            <w:tcW w:w="3514" w:type="dxa"/>
          </w:tcPr>
          <w:p w:rsidR="001F7A2A"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w:t>
            </w:r>
            <w:r w:rsidR="00D33CB2">
              <w:rPr>
                <w:rFonts w:asciiTheme="majorHAnsi" w:eastAsiaTheme="minorEastAsia" w:hAnsiTheme="majorHAnsi" w:cs="Arial"/>
                <w:lang w:val="en-IN" w:eastAsia="en-IN"/>
              </w:rPr>
              <w:t xml:space="preserve"> </w:t>
            </w:r>
            <w:r w:rsidR="004B3188">
              <w:rPr>
                <w:rFonts w:asciiTheme="majorHAnsi" w:eastAsiaTheme="minorEastAsia" w:hAnsiTheme="majorHAnsi" w:cs="Arial"/>
                <w:lang w:val="en-IN" w:eastAsia="en-IN"/>
              </w:rPr>
              <w:t xml:space="preserve">Technology </w:t>
            </w:r>
            <w:proofErr w:type="spellStart"/>
            <w:r w:rsidR="004B3188">
              <w:rPr>
                <w:rFonts w:asciiTheme="majorHAnsi" w:eastAsiaTheme="minorEastAsia" w:hAnsiTheme="majorHAnsi" w:cs="Arial"/>
                <w:lang w:val="en-IN" w:eastAsia="en-IN"/>
              </w:rPr>
              <w:t>Upgradation</w:t>
            </w:r>
            <w:proofErr w:type="spellEnd"/>
          </w:p>
          <w:p w:rsidR="004B3188" w:rsidRDefault="004B3188" w:rsidP="003615DF">
            <w:pPr>
              <w:jc w:val="both"/>
              <w:rPr>
                <w:rFonts w:asciiTheme="majorHAnsi" w:eastAsiaTheme="minorEastAsia" w:hAnsiTheme="majorHAnsi" w:cs="Arial"/>
                <w:lang w:val="en-IN" w:eastAsia="en-IN"/>
              </w:rPr>
            </w:pPr>
          </w:p>
          <w:p w:rsidR="004B3188" w:rsidRDefault="004B3188" w:rsidP="003615DF">
            <w:pPr>
              <w:jc w:val="both"/>
              <w:rPr>
                <w:rFonts w:asciiTheme="majorHAnsi" w:eastAsiaTheme="minorEastAsia" w:hAnsiTheme="majorHAnsi" w:cs="Arial"/>
                <w:lang w:val="en-IN" w:eastAsia="en-IN"/>
              </w:rPr>
            </w:pPr>
          </w:p>
          <w:p w:rsidR="004B3188" w:rsidRDefault="004B3188" w:rsidP="003615DF">
            <w:pPr>
              <w:jc w:val="both"/>
              <w:rPr>
                <w:rFonts w:asciiTheme="majorHAnsi" w:eastAsiaTheme="minorEastAsia" w:hAnsiTheme="majorHAnsi" w:cs="Arial"/>
                <w:lang w:val="en-IN" w:eastAsia="en-IN"/>
              </w:rPr>
            </w:pPr>
          </w:p>
          <w:p w:rsidR="004B3188" w:rsidRDefault="004B3188" w:rsidP="003615DF">
            <w:pPr>
              <w:jc w:val="both"/>
              <w:rPr>
                <w:rFonts w:asciiTheme="majorHAnsi" w:eastAsiaTheme="minorEastAsia" w:hAnsiTheme="majorHAnsi" w:cs="Arial"/>
                <w:lang w:val="en-IN" w:eastAsia="en-IN"/>
              </w:rPr>
            </w:pPr>
          </w:p>
          <w:p w:rsidR="004B3188"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2)</w:t>
            </w:r>
            <w:r w:rsidR="00D33CB2">
              <w:rPr>
                <w:rFonts w:asciiTheme="majorHAnsi" w:eastAsiaTheme="minorEastAsia" w:hAnsiTheme="majorHAnsi" w:cs="Arial"/>
                <w:lang w:val="en-IN" w:eastAsia="en-IN"/>
              </w:rPr>
              <w:t xml:space="preserve"> </w:t>
            </w:r>
            <w:r w:rsidR="004B3188">
              <w:rPr>
                <w:rFonts w:asciiTheme="majorHAnsi" w:eastAsiaTheme="minorEastAsia" w:hAnsiTheme="majorHAnsi" w:cs="Arial"/>
                <w:lang w:val="en-IN" w:eastAsia="en-IN"/>
              </w:rPr>
              <w:t>Raw material</w:t>
            </w:r>
          </w:p>
          <w:p w:rsidR="004B3188" w:rsidRDefault="004B3188" w:rsidP="003615DF">
            <w:pPr>
              <w:jc w:val="both"/>
              <w:rPr>
                <w:rFonts w:asciiTheme="majorHAnsi" w:eastAsiaTheme="minorEastAsia" w:hAnsiTheme="majorHAnsi" w:cs="Arial"/>
                <w:lang w:val="en-IN" w:eastAsia="en-IN"/>
              </w:rPr>
            </w:pPr>
          </w:p>
          <w:p w:rsidR="004B3188" w:rsidRDefault="004B3188" w:rsidP="003615DF">
            <w:pPr>
              <w:jc w:val="both"/>
              <w:rPr>
                <w:rFonts w:asciiTheme="majorHAnsi" w:eastAsiaTheme="minorEastAsia" w:hAnsiTheme="majorHAnsi" w:cs="Arial"/>
                <w:lang w:val="en-IN" w:eastAsia="en-IN"/>
              </w:rPr>
            </w:pPr>
          </w:p>
          <w:p w:rsidR="004B3188" w:rsidRDefault="004B3188" w:rsidP="003615DF">
            <w:pPr>
              <w:jc w:val="both"/>
              <w:rPr>
                <w:rFonts w:asciiTheme="majorHAnsi" w:eastAsiaTheme="minorEastAsia" w:hAnsiTheme="majorHAnsi" w:cs="Arial"/>
                <w:lang w:val="en-IN" w:eastAsia="en-IN"/>
              </w:rPr>
            </w:pPr>
          </w:p>
          <w:p w:rsidR="004B3188" w:rsidRDefault="004B3188" w:rsidP="003615DF">
            <w:pPr>
              <w:jc w:val="both"/>
              <w:rPr>
                <w:rFonts w:asciiTheme="majorHAnsi" w:eastAsiaTheme="minorEastAsia" w:hAnsiTheme="majorHAnsi" w:cs="Arial"/>
                <w:lang w:val="en-IN" w:eastAsia="en-IN"/>
              </w:rPr>
            </w:pPr>
          </w:p>
          <w:p w:rsidR="004B3188" w:rsidRDefault="00D06F8E" w:rsidP="003615DF">
            <w:pPr>
              <w:jc w:val="both"/>
              <w:rPr>
                <w:rFonts w:asciiTheme="majorHAnsi" w:hAnsiTheme="majorHAnsi" w:cs="Arial"/>
                <w:lang w:val="en-IN"/>
              </w:rPr>
            </w:pPr>
            <w:r>
              <w:rPr>
                <w:rFonts w:asciiTheme="majorHAnsi" w:hAnsiTheme="majorHAnsi" w:cs="Arial"/>
                <w:lang w:val="en-IN"/>
              </w:rPr>
              <w:t>3)</w:t>
            </w:r>
            <w:r w:rsidR="00D33CB2">
              <w:rPr>
                <w:rFonts w:asciiTheme="majorHAnsi" w:hAnsiTheme="majorHAnsi" w:cs="Arial"/>
                <w:lang w:val="en-IN"/>
              </w:rPr>
              <w:t xml:space="preserve"> </w:t>
            </w:r>
            <w:r w:rsidR="004B3188" w:rsidRPr="004B3188">
              <w:rPr>
                <w:rFonts w:asciiTheme="majorHAnsi" w:hAnsiTheme="majorHAnsi" w:cs="Arial"/>
                <w:lang w:val="en-IN"/>
              </w:rPr>
              <w:t>SION norms</w:t>
            </w:r>
          </w:p>
          <w:p w:rsidR="004B3188" w:rsidRDefault="004B3188" w:rsidP="003615DF">
            <w:pPr>
              <w:jc w:val="both"/>
              <w:rPr>
                <w:rFonts w:asciiTheme="majorHAnsi" w:hAnsiTheme="majorHAnsi" w:cs="Arial"/>
                <w:lang w:val="en-IN"/>
              </w:rPr>
            </w:pPr>
          </w:p>
          <w:p w:rsidR="004B3188" w:rsidRDefault="004B3188" w:rsidP="003615DF">
            <w:pPr>
              <w:jc w:val="both"/>
              <w:rPr>
                <w:rFonts w:asciiTheme="majorHAnsi" w:hAnsiTheme="majorHAnsi" w:cs="Arial"/>
                <w:lang w:val="en-IN"/>
              </w:rPr>
            </w:pPr>
          </w:p>
          <w:p w:rsidR="004B3188" w:rsidRDefault="004B3188" w:rsidP="003615DF">
            <w:pPr>
              <w:jc w:val="both"/>
              <w:rPr>
                <w:rFonts w:asciiTheme="majorHAnsi" w:hAnsiTheme="majorHAnsi" w:cs="Arial"/>
                <w:lang w:val="en-IN"/>
              </w:rPr>
            </w:pPr>
          </w:p>
          <w:p w:rsidR="004B3188" w:rsidRDefault="00D06F8E" w:rsidP="003615DF">
            <w:pPr>
              <w:jc w:val="both"/>
              <w:rPr>
                <w:rFonts w:asciiTheme="majorHAnsi" w:hAnsiTheme="majorHAnsi" w:cs="Arial"/>
                <w:lang w:val="en-IN"/>
              </w:rPr>
            </w:pPr>
            <w:r>
              <w:rPr>
                <w:rFonts w:asciiTheme="majorHAnsi" w:hAnsiTheme="majorHAnsi" w:cs="Arial"/>
                <w:lang w:val="en-IN"/>
              </w:rPr>
              <w:t>4)</w:t>
            </w:r>
            <w:r w:rsidR="00D33CB2">
              <w:rPr>
                <w:rFonts w:asciiTheme="majorHAnsi" w:hAnsiTheme="majorHAnsi" w:cs="Arial"/>
                <w:lang w:val="en-IN"/>
              </w:rPr>
              <w:t xml:space="preserve"> </w:t>
            </w:r>
            <w:r w:rsidR="004B3188" w:rsidRPr="004B3188">
              <w:rPr>
                <w:rFonts w:asciiTheme="majorHAnsi" w:hAnsiTheme="majorHAnsi" w:cs="Arial"/>
                <w:lang w:val="en-IN"/>
              </w:rPr>
              <w:t>Duty free import</w:t>
            </w:r>
          </w:p>
          <w:p w:rsidR="004B3188" w:rsidRDefault="004B3188" w:rsidP="003615DF">
            <w:pPr>
              <w:jc w:val="both"/>
              <w:rPr>
                <w:rFonts w:asciiTheme="majorHAnsi" w:hAnsiTheme="majorHAnsi" w:cs="Arial"/>
                <w:lang w:val="en-IN"/>
              </w:rPr>
            </w:pPr>
          </w:p>
          <w:p w:rsidR="004B3188" w:rsidRDefault="00D06F8E" w:rsidP="003615DF">
            <w:pPr>
              <w:jc w:val="both"/>
              <w:rPr>
                <w:rFonts w:asciiTheme="majorHAnsi" w:hAnsiTheme="majorHAnsi" w:cs="Arial"/>
                <w:lang w:val="en-IN"/>
              </w:rPr>
            </w:pPr>
            <w:r>
              <w:rPr>
                <w:rFonts w:asciiTheme="majorHAnsi" w:hAnsiTheme="majorHAnsi" w:cs="Arial"/>
                <w:lang w:val="en-IN"/>
              </w:rPr>
              <w:t>5)</w:t>
            </w:r>
            <w:r w:rsidR="00D33CB2">
              <w:rPr>
                <w:rFonts w:asciiTheme="majorHAnsi" w:hAnsiTheme="majorHAnsi" w:cs="Arial"/>
                <w:lang w:val="en-IN"/>
              </w:rPr>
              <w:t xml:space="preserve"> </w:t>
            </w:r>
            <w:r w:rsidR="004B3188" w:rsidRPr="004B3188">
              <w:rPr>
                <w:rFonts w:asciiTheme="majorHAnsi" w:hAnsiTheme="majorHAnsi" w:cs="Arial"/>
                <w:lang w:val="en-IN"/>
              </w:rPr>
              <w:t>“Look East Policy”</w:t>
            </w:r>
          </w:p>
          <w:p w:rsidR="004B3188" w:rsidRDefault="004B3188" w:rsidP="003615DF">
            <w:pPr>
              <w:jc w:val="both"/>
              <w:rPr>
                <w:rFonts w:asciiTheme="majorHAnsi" w:hAnsiTheme="majorHAnsi" w:cs="Arial"/>
                <w:lang w:val="en-IN"/>
              </w:rPr>
            </w:pPr>
          </w:p>
          <w:p w:rsidR="004B3188" w:rsidRDefault="004B3188" w:rsidP="003615DF">
            <w:pPr>
              <w:jc w:val="both"/>
              <w:rPr>
                <w:rFonts w:asciiTheme="majorHAnsi" w:hAnsiTheme="majorHAnsi" w:cs="Arial"/>
                <w:lang w:val="en-IN"/>
              </w:rPr>
            </w:pPr>
          </w:p>
          <w:p w:rsidR="004B3188" w:rsidRDefault="004B3188" w:rsidP="003615DF">
            <w:pPr>
              <w:jc w:val="both"/>
              <w:rPr>
                <w:rFonts w:asciiTheme="majorHAnsi" w:hAnsiTheme="majorHAnsi" w:cs="Arial"/>
                <w:lang w:val="en-IN"/>
              </w:rPr>
            </w:pPr>
          </w:p>
          <w:p w:rsidR="004B3188" w:rsidRDefault="00D06F8E" w:rsidP="003615DF">
            <w:pPr>
              <w:jc w:val="both"/>
              <w:rPr>
                <w:rFonts w:asciiTheme="majorHAnsi" w:hAnsiTheme="majorHAnsi" w:cs="Arial"/>
                <w:lang w:val="en-IN"/>
              </w:rPr>
            </w:pPr>
            <w:r>
              <w:rPr>
                <w:rFonts w:asciiTheme="majorHAnsi" w:hAnsiTheme="majorHAnsi" w:cs="Arial"/>
                <w:lang w:val="en-IN"/>
              </w:rPr>
              <w:t>6)</w:t>
            </w:r>
            <w:r w:rsidR="00D33CB2">
              <w:rPr>
                <w:rFonts w:asciiTheme="majorHAnsi" w:hAnsiTheme="majorHAnsi" w:cs="Arial"/>
                <w:lang w:val="en-IN"/>
              </w:rPr>
              <w:t xml:space="preserve"> </w:t>
            </w:r>
            <w:r w:rsidR="004B3188">
              <w:rPr>
                <w:rFonts w:asciiTheme="majorHAnsi" w:hAnsiTheme="majorHAnsi" w:cs="Arial"/>
                <w:lang w:val="en-IN"/>
              </w:rPr>
              <w:t>Currency fluctuation</w:t>
            </w:r>
          </w:p>
          <w:p w:rsidR="004B3188" w:rsidRDefault="004B3188" w:rsidP="003615DF">
            <w:pPr>
              <w:jc w:val="both"/>
              <w:rPr>
                <w:rFonts w:asciiTheme="majorHAnsi" w:hAnsiTheme="majorHAnsi" w:cs="Arial"/>
                <w:lang w:val="en-IN"/>
              </w:rPr>
            </w:pPr>
          </w:p>
          <w:p w:rsidR="004B3188" w:rsidRDefault="004B3188" w:rsidP="003615DF">
            <w:pPr>
              <w:jc w:val="both"/>
              <w:rPr>
                <w:rFonts w:asciiTheme="majorHAnsi" w:hAnsiTheme="majorHAnsi" w:cs="Arial"/>
                <w:lang w:val="en-IN"/>
              </w:rPr>
            </w:pPr>
          </w:p>
          <w:p w:rsidR="004B3188" w:rsidRDefault="00D06F8E" w:rsidP="003615DF">
            <w:pPr>
              <w:jc w:val="both"/>
              <w:rPr>
                <w:rFonts w:asciiTheme="majorHAnsi" w:hAnsiTheme="majorHAnsi" w:cs="Arial"/>
                <w:lang w:val="en-IN"/>
              </w:rPr>
            </w:pPr>
            <w:r>
              <w:rPr>
                <w:rFonts w:asciiTheme="majorHAnsi" w:hAnsiTheme="majorHAnsi" w:cs="Arial"/>
                <w:lang w:val="en-IN"/>
              </w:rPr>
              <w:t>7)</w:t>
            </w:r>
            <w:r w:rsidR="00D33CB2">
              <w:rPr>
                <w:rFonts w:asciiTheme="majorHAnsi" w:hAnsiTheme="majorHAnsi" w:cs="Arial"/>
                <w:lang w:val="en-IN"/>
              </w:rPr>
              <w:t xml:space="preserve"> </w:t>
            </w:r>
            <w:r w:rsidR="004B3188" w:rsidRPr="004B3188">
              <w:rPr>
                <w:rFonts w:asciiTheme="majorHAnsi" w:hAnsiTheme="majorHAnsi" w:cs="Arial"/>
                <w:lang w:val="en-IN"/>
              </w:rPr>
              <w:t>Duty Drawback</w:t>
            </w:r>
          </w:p>
          <w:p w:rsidR="004B3188" w:rsidRDefault="004B3188" w:rsidP="003615DF">
            <w:pPr>
              <w:jc w:val="both"/>
              <w:rPr>
                <w:rFonts w:asciiTheme="majorHAnsi" w:hAnsiTheme="majorHAnsi" w:cs="Arial"/>
                <w:lang w:val="en-IN"/>
              </w:rPr>
            </w:pPr>
          </w:p>
          <w:p w:rsidR="004B3188" w:rsidRDefault="004B3188" w:rsidP="003615DF">
            <w:pPr>
              <w:jc w:val="both"/>
              <w:rPr>
                <w:rFonts w:asciiTheme="majorHAnsi" w:hAnsiTheme="majorHAnsi" w:cs="Arial"/>
                <w:lang w:val="en-IN"/>
              </w:rPr>
            </w:pPr>
          </w:p>
          <w:p w:rsidR="004B3188" w:rsidRPr="00F82BF5" w:rsidRDefault="00D06F8E" w:rsidP="003615DF">
            <w:pPr>
              <w:jc w:val="both"/>
              <w:rPr>
                <w:rFonts w:asciiTheme="majorHAnsi" w:eastAsiaTheme="minorEastAsia" w:hAnsiTheme="majorHAnsi" w:cs="Arial"/>
                <w:lang w:val="en-IN" w:eastAsia="en-IN"/>
              </w:rPr>
            </w:pPr>
            <w:r>
              <w:rPr>
                <w:rFonts w:asciiTheme="majorHAnsi" w:hAnsiTheme="majorHAnsi" w:cs="Arial"/>
                <w:lang w:val="en-IN"/>
              </w:rPr>
              <w:t>8)</w:t>
            </w:r>
            <w:r w:rsidR="00D33CB2">
              <w:rPr>
                <w:rFonts w:asciiTheme="majorHAnsi" w:hAnsiTheme="majorHAnsi" w:cs="Arial"/>
                <w:lang w:val="en-IN"/>
              </w:rPr>
              <w:t xml:space="preserve"> </w:t>
            </w:r>
            <w:r w:rsidR="004B3188" w:rsidRPr="004B3188">
              <w:rPr>
                <w:rFonts w:asciiTheme="majorHAnsi" w:hAnsiTheme="majorHAnsi" w:cs="Arial"/>
                <w:lang w:val="en-IN"/>
              </w:rPr>
              <w:t>VAT</w:t>
            </w:r>
            <w:r w:rsidR="004B3188">
              <w:rPr>
                <w:rFonts w:asciiTheme="majorHAnsi" w:hAnsiTheme="majorHAnsi" w:cs="Arial"/>
                <w:lang w:val="en-IN"/>
              </w:rPr>
              <w:t xml:space="preserve"> refund</w:t>
            </w:r>
          </w:p>
        </w:tc>
        <w:tc>
          <w:tcPr>
            <w:tcW w:w="11660" w:type="dxa"/>
          </w:tcPr>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xml:space="preserve">The market demands innovative products. So, the manufacturers have to upgrade their technologies. Without </w:t>
            </w:r>
            <w:proofErr w:type="spellStart"/>
            <w:r w:rsidRPr="004B3188">
              <w:rPr>
                <w:rFonts w:asciiTheme="majorHAnsi" w:hAnsiTheme="majorHAnsi" w:cs="Arial"/>
                <w:lang w:val="en-IN"/>
              </w:rPr>
              <w:t>upgradation</w:t>
            </w:r>
            <w:proofErr w:type="spellEnd"/>
            <w:r w:rsidRPr="004B3188">
              <w:rPr>
                <w:rFonts w:asciiTheme="majorHAnsi" w:hAnsiTheme="majorHAnsi" w:cs="Arial"/>
                <w:lang w:val="en-IN"/>
              </w:rPr>
              <w:t xml:space="preserve"> in technology, the (large &amp; small scale players) will not be able to survive. Across India’s Paints, Printing Ink and Coating Industry, around 3000 small scale players are operating and they will grow only with the assistance of Government.</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This industry is raw material intensive. As most of the raw materials are petroleum based, the industry benefits from softening of crude prices.  The Cost of Raw materials are an important factor as the industry is raw material intensive. Fluctuation in the prices of Titanium dioxide and Petroleum directly affect the production cost. Also, a large portion of raw materials are imported, leaving the cost factor vulnerable to exchange rate fluctuation.</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SION norms have been fixed only for conversion of Aluminium Ingots to Aluminium Powder. There are no norms for conversion of Aluminium scrap to Aluminium powder. The Customs Duty that exporters are paying could not be reimbursed immediately.</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Duty free import of solvents, resins, pigments for value added export for manufacturer-exporters</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Reference to the Government’s “Look East Policy” and Government should make the state apparatus more alert and active to make full use of ASIDE Schemes to</w:t>
            </w:r>
            <w:r>
              <w:rPr>
                <w:rFonts w:asciiTheme="majorHAnsi" w:hAnsiTheme="majorHAnsi" w:cs="Arial"/>
                <w:lang w:val="en-IN"/>
              </w:rPr>
              <w:t xml:space="preserve"> </w:t>
            </w:r>
            <w:r w:rsidRPr="004B3188">
              <w:rPr>
                <w:rFonts w:asciiTheme="majorHAnsi" w:hAnsiTheme="majorHAnsi" w:cs="Arial"/>
                <w:lang w:val="en-IN"/>
              </w:rPr>
              <w:t>improve Road conditions and upgrade other infrastructural facilities at the Land Customs Stations bordering the neighbouring states.</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Since dollar prices are up and rupee is going down and as a result prices of raw materials are increased, Government should give some assistance.</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Duty Drawback facility to be required on Industrial Grade Ultramarine Blue, Gold/Brass/Copper Bronze Powders to boost up exports</w:t>
            </w:r>
          </w:p>
          <w:p w:rsidR="004B3188" w:rsidRPr="004B3188" w:rsidRDefault="004B3188" w:rsidP="004B3188">
            <w:pPr>
              <w:jc w:val="both"/>
              <w:rPr>
                <w:rFonts w:asciiTheme="majorHAnsi" w:hAnsiTheme="majorHAnsi" w:cs="Arial"/>
                <w:lang w:val="en-IN"/>
              </w:rPr>
            </w:pPr>
            <w:r w:rsidRPr="004B3188">
              <w:rPr>
                <w:rFonts w:asciiTheme="majorHAnsi" w:hAnsiTheme="majorHAnsi" w:cs="Arial"/>
                <w:lang w:val="en-IN"/>
              </w:rPr>
              <w:t> </w:t>
            </w:r>
          </w:p>
          <w:p w:rsidR="001F7A2A" w:rsidRPr="004B3188" w:rsidRDefault="004B3188" w:rsidP="004B3188">
            <w:pPr>
              <w:jc w:val="both"/>
              <w:rPr>
                <w:rFonts w:ascii="Arial" w:eastAsia="Times New Roman" w:hAnsi="Arial" w:cs="Arial"/>
                <w:color w:val="222222"/>
                <w:sz w:val="19"/>
                <w:szCs w:val="19"/>
              </w:rPr>
            </w:pPr>
            <w:r w:rsidRPr="004B3188">
              <w:rPr>
                <w:rFonts w:asciiTheme="majorHAnsi" w:hAnsiTheme="majorHAnsi" w:cs="Arial"/>
                <w:lang w:val="en-IN"/>
              </w:rPr>
              <w:t>VAT refunds are not forthcoming to the exporters even after five years of filing the returns. The final assessment is inordinately delayed thereby blocking high interest bearing funds of the exporters.</w:t>
            </w:r>
          </w:p>
        </w:tc>
      </w:tr>
    </w:tbl>
    <w:p w:rsidR="00226EBC" w:rsidRDefault="00226EBC" w:rsidP="00297C95">
      <w:pPr>
        <w:spacing w:after="0" w:line="240" w:lineRule="auto"/>
        <w:jc w:val="center"/>
        <w:rPr>
          <w:rFonts w:asciiTheme="majorHAnsi" w:hAnsiTheme="majorHAnsi" w:cs="Arial"/>
        </w:rPr>
      </w:pPr>
      <w:bookmarkStart w:id="0" w:name="_GoBack"/>
      <w:bookmarkEnd w:id="0"/>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D8" w:rsidRDefault="005043D8" w:rsidP="002B073E">
      <w:pPr>
        <w:spacing w:after="0" w:line="240" w:lineRule="auto"/>
      </w:pPr>
      <w:r>
        <w:separator/>
      </w:r>
    </w:p>
  </w:endnote>
  <w:endnote w:type="continuationSeparator" w:id="0">
    <w:p w:rsidR="005043D8" w:rsidRDefault="005043D8"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6322BC">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D8" w:rsidRDefault="005043D8" w:rsidP="002B073E">
      <w:pPr>
        <w:spacing w:after="0" w:line="240" w:lineRule="auto"/>
      </w:pPr>
      <w:r>
        <w:separator/>
      </w:r>
    </w:p>
  </w:footnote>
  <w:footnote w:type="continuationSeparator" w:id="0">
    <w:p w:rsidR="005043D8" w:rsidRDefault="005043D8"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43D8"/>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322BC"/>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74DEA"/>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208</cp:revision>
  <cp:lastPrinted>2016-11-23T05:58:00Z</cp:lastPrinted>
  <dcterms:created xsi:type="dcterms:W3CDTF">2016-10-25T05:39:00Z</dcterms:created>
  <dcterms:modified xsi:type="dcterms:W3CDTF">2017-09-04T11:58:00Z</dcterms:modified>
</cp:coreProperties>
</file>