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297C95" w:rsidRPr="003615DF" w:rsidTr="0028579D">
        <w:trPr>
          <w:cantSplit/>
          <w:trHeight w:val="260"/>
          <w:jc w:val="center"/>
        </w:trPr>
        <w:tc>
          <w:tcPr>
            <w:tcW w:w="15174" w:type="dxa"/>
            <w:gridSpan w:val="2"/>
          </w:tcPr>
          <w:p w:rsidR="00297C95" w:rsidRPr="004432D3" w:rsidRDefault="00D06F8E" w:rsidP="004432D3">
            <w:pPr>
              <w:autoSpaceDE w:val="0"/>
              <w:autoSpaceDN w:val="0"/>
              <w:adjustRightInd w:val="0"/>
              <w:jc w:val="center"/>
              <w:rPr>
                <w:rFonts w:asciiTheme="majorHAnsi" w:hAnsiTheme="majorHAnsi" w:cs="Arial"/>
                <w:b/>
                <w:sz w:val="28"/>
              </w:rPr>
            </w:pPr>
            <w:r>
              <w:rPr>
                <w:rFonts w:asciiTheme="majorHAnsi" w:hAnsiTheme="majorHAnsi" w:cs="Arial"/>
                <w:b/>
                <w:sz w:val="28"/>
              </w:rPr>
              <w:t>M</w:t>
            </w:r>
            <w:r w:rsidR="00536C35">
              <w:rPr>
                <w:rFonts w:asciiTheme="majorHAnsi" w:hAnsiTheme="majorHAnsi" w:cs="Arial"/>
                <w:b/>
                <w:sz w:val="28"/>
              </w:rPr>
              <w:t xml:space="preserve">anufactured </w:t>
            </w:r>
            <w:r>
              <w:rPr>
                <w:rFonts w:asciiTheme="majorHAnsi" w:hAnsiTheme="majorHAnsi" w:cs="Arial"/>
                <w:b/>
                <w:sz w:val="28"/>
              </w:rPr>
              <w:t xml:space="preserve">Products of Carbon </w:t>
            </w:r>
            <w:r w:rsidR="00297C95" w:rsidRPr="00661736">
              <w:rPr>
                <w:rFonts w:asciiTheme="majorHAnsi" w:hAnsiTheme="majorHAnsi" w:cs="Arial"/>
                <w:b/>
                <w:sz w:val="28"/>
              </w:rPr>
              <w:t>Graphite</w:t>
            </w:r>
            <w:r>
              <w:rPr>
                <w:rFonts w:asciiTheme="majorHAnsi" w:hAnsiTheme="majorHAnsi" w:cs="Arial"/>
                <w:b/>
                <w:sz w:val="28"/>
              </w:rPr>
              <w:t>, Explosives &amp; Accessories</w:t>
            </w:r>
            <w:r w:rsidR="00297C95" w:rsidRPr="00661736">
              <w:rPr>
                <w:rFonts w:asciiTheme="majorHAnsi" w:hAnsiTheme="majorHAnsi" w:cs="Arial"/>
                <w:b/>
                <w:sz w:val="28"/>
              </w:rPr>
              <w:t xml:space="preserve"> </w:t>
            </w:r>
            <w:r>
              <w:rPr>
                <w:rFonts w:asciiTheme="majorHAnsi" w:hAnsiTheme="majorHAnsi" w:cs="Arial"/>
                <w:b/>
                <w:sz w:val="28"/>
              </w:rPr>
              <w:t xml:space="preserve">Panel </w:t>
            </w:r>
          </w:p>
        </w:tc>
      </w:tr>
      <w:tr w:rsidR="00A229C1" w:rsidRPr="003615DF" w:rsidTr="000B60AE">
        <w:trPr>
          <w:cantSplit/>
          <w:trHeight w:val="818"/>
          <w:jc w:val="center"/>
        </w:trPr>
        <w:tc>
          <w:tcPr>
            <w:tcW w:w="3514" w:type="dxa"/>
          </w:tcPr>
          <w:p w:rsidR="00A229C1" w:rsidRPr="00793D8D" w:rsidRDefault="00813611" w:rsidP="00F82BF5">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1</w:t>
            </w:r>
            <w:r w:rsidR="00A229C1" w:rsidRPr="00793D8D">
              <w:rPr>
                <w:rFonts w:asciiTheme="majorHAnsi" w:eastAsiaTheme="minorEastAsia" w:hAnsiTheme="majorHAnsi" w:cs="Arial"/>
                <w:lang w:val="en-IN" w:eastAsia="en-IN"/>
              </w:rPr>
              <w:t>) Existing and potential market and what are the reasons which are     hampering our export in new market.</w:t>
            </w:r>
            <w:r w:rsidR="000617DE" w:rsidRPr="00793D8D">
              <w:rPr>
                <w:rFonts w:asciiTheme="majorHAnsi" w:eastAsiaTheme="minorEastAsia" w:hAnsiTheme="majorHAnsi" w:cs="Arial"/>
                <w:lang w:val="en-IN" w:eastAsia="en-IN"/>
              </w:rPr>
              <w:t xml:space="preserve"> </w:t>
            </w:r>
            <w:r w:rsidR="000617DE" w:rsidRPr="00793D8D">
              <w:rPr>
                <w:rFonts w:asciiTheme="majorHAnsi" w:eastAsiaTheme="minorEastAsia" w:hAnsiTheme="majorHAnsi" w:cs="Arial"/>
                <w:b/>
                <w:lang w:val="en-IN" w:eastAsia="en-IN"/>
              </w:rPr>
              <w:t>(07.09.2017)</w:t>
            </w:r>
          </w:p>
        </w:tc>
        <w:tc>
          <w:tcPr>
            <w:tcW w:w="11660" w:type="dxa"/>
          </w:tcPr>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Shipment / Export of Safety Fuse by SEA may be allowed from MUMBAI-J.N.PORT /NAVASHEVA For this PESO may be advised to issue Notification as the Product is under 1.4S. In this regard representation has already been made to PESO by Shippers / Exporters.</w:t>
            </w:r>
          </w:p>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 </w:t>
            </w:r>
            <w:bookmarkStart w:id="0" w:name="_GoBack"/>
            <w:bookmarkEnd w:id="0"/>
          </w:p>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Current drawback to be increased from 1.9% to 10% on FOB value.</w:t>
            </w:r>
          </w:p>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 </w:t>
            </w:r>
          </w:p>
          <w:p w:rsidR="00A229C1" w:rsidRPr="00793D8D" w:rsidRDefault="00A229C1" w:rsidP="00A229C1">
            <w:pPr>
              <w:jc w:val="both"/>
              <w:rPr>
                <w:rFonts w:asciiTheme="majorHAnsi" w:eastAsiaTheme="minorEastAsia" w:hAnsiTheme="majorHAnsi" w:cs="Arial"/>
                <w:lang w:val="en-IN" w:eastAsia="en-IN"/>
              </w:rPr>
            </w:pPr>
            <w:proofErr w:type="gramStart"/>
            <w:r w:rsidRPr="00793D8D">
              <w:rPr>
                <w:rFonts w:asciiTheme="majorHAnsi" w:eastAsiaTheme="minorEastAsia" w:hAnsiTheme="majorHAnsi" w:cs="Arial"/>
                <w:lang w:val="en-IN" w:eastAsia="en-IN"/>
              </w:rPr>
              <w:t>MEIS</w:t>
            </w:r>
            <w:proofErr w:type="gramEnd"/>
            <w:r w:rsidRPr="00793D8D">
              <w:rPr>
                <w:rFonts w:asciiTheme="majorHAnsi" w:eastAsiaTheme="minorEastAsia" w:hAnsiTheme="majorHAnsi" w:cs="Arial"/>
                <w:lang w:val="en-IN" w:eastAsia="en-IN"/>
              </w:rPr>
              <w:t xml:space="preserve"> scheme the percentage of rewards is at 2% currently need to be increased to 5%.</w:t>
            </w:r>
          </w:p>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 </w:t>
            </w:r>
          </w:p>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 xml:space="preserve">Currently the Export of explosives is only allowed by manufacturers, </w:t>
            </w:r>
            <w:proofErr w:type="spellStart"/>
            <w:r w:rsidRPr="00793D8D">
              <w:rPr>
                <w:rFonts w:asciiTheme="majorHAnsi" w:eastAsiaTheme="minorEastAsia" w:hAnsiTheme="majorHAnsi" w:cs="Arial"/>
                <w:lang w:val="en-IN" w:eastAsia="en-IN"/>
              </w:rPr>
              <w:t>upto</w:t>
            </w:r>
            <w:proofErr w:type="spellEnd"/>
            <w:r w:rsidRPr="00793D8D">
              <w:rPr>
                <w:rFonts w:asciiTheme="majorHAnsi" w:eastAsiaTheme="minorEastAsia" w:hAnsiTheme="majorHAnsi" w:cs="Arial"/>
                <w:lang w:val="en-IN" w:eastAsia="en-IN"/>
              </w:rPr>
              <w:t xml:space="preserve"> year 2008 the merchant export was in practice, after year 2008 to till now it is not allowed. </w:t>
            </w:r>
            <w:proofErr w:type="gramStart"/>
            <w:r w:rsidRPr="00793D8D">
              <w:rPr>
                <w:rFonts w:asciiTheme="majorHAnsi" w:eastAsiaTheme="minorEastAsia" w:hAnsiTheme="majorHAnsi" w:cs="Arial"/>
                <w:lang w:val="en-IN" w:eastAsia="en-IN"/>
              </w:rPr>
              <w:t>so</w:t>
            </w:r>
            <w:proofErr w:type="gramEnd"/>
            <w:r w:rsidRPr="00793D8D">
              <w:rPr>
                <w:rFonts w:asciiTheme="majorHAnsi" w:eastAsiaTheme="minorEastAsia" w:hAnsiTheme="majorHAnsi" w:cs="Arial"/>
                <w:lang w:val="en-IN" w:eastAsia="en-IN"/>
              </w:rPr>
              <w:t xml:space="preserve"> to improve the export, merchant export to be allowed so that the volume will be increased.</w:t>
            </w:r>
          </w:p>
          <w:p w:rsidR="00A229C1" w:rsidRPr="00793D8D" w:rsidRDefault="00A229C1" w:rsidP="00A229C1">
            <w:pPr>
              <w:jc w:val="both"/>
              <w:rPr>
                <w:rFonts w:asciiTheme="majorHAnsi" w:eastAsiaTheme="minorEastAsia" w:hAnsiTheme="majorHAnsi" w:cs="Arial"/>
                <w:lang w:val="en-IN" w:eastAsia="en-IN"/>
              </w:rPr>
            </w:pPr>
            <w:r w:rsidRPr="00793D8D">
              <w:rPr>
                <w:rFonts w:asciiTheme="majorHAnsi" w:eastAsiaTheme="minorEastAsia" w:hAnsiTheme="majorHAnsi" w:cs="Arial"/>
                <w:lang w:val="en-IN" w:eastAsia="en-IN"/>
              </w:rPr>
              <w:t> </w:t>
            </w:r>
          </w:p>
          <w:p w:rsidR="00A229C1" w:rsidRPr="00793D8D" w:rsidRDefault="00A229C1" w:rsidP="00A229C1">
            <w:pPr>
              <w:jc w:val="both"/>
              <w:rPr>
                <w:rFonts w:ascii="Calibri" w:eastAsia="Times New Roman" w:hAnsi="Calibri" w:cs="Times New Roman"/>
                <w:sz w:val="24"/>
                <w:szCs w:val="24"/>
                <w:lang w:eastAsia="en-IN"/>
              </w:rPr>
            </w:pPr>
            <w:r w:rsidRPr="00793D8D">
              <w:rPr>
                <w:rFonts w:asciiTheme="majorHAnsi" w:eastAsiaTheme="minorEastAsia" w:hAnsiTheme="majorHAnsi" w:cs="Arial"/>
                <w:lang w:val="en-IN" w:eastAsia="en-IN"/>
              </w:rPr>
              <w:t>The Granting of licence to manufacture explosives and accessories and amendments in the licences needs to be issued by concerning circle offices in each states to promote and ease of doing business, each and every approvals manufacturers has to go to Nagpur PESO head office.</w:t>
            </w:r>
          </w:p>
        </w:tc>
      </w:tr>
    </w:tbl>
    <w:p w:rsidR="006F6DCB" w:rsidRDefault="006F6DCB" w:rsidP="00297C95">
      <w:pPr>
        <w:spacing w:after="0" w:line="240" w:lineRule="auto"/>
        <w:jc w:val="center"/>
        <w:rPr>
          <w:rFonts w:asciiTheme="majorHAnsi" w:hAnsiTheme="majorHAnsi" w:cs="Arial"/>
        </w:rPr>
      </w:pPr>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EB" w:rsidRDefault="001A76EB" w:rsidP="002B073E">
      <w:pPr>
        <w:spacing w:after="0" w:line="240" w:lineRule="auto"/>
      </w:pPr>
      <w:r>
        <w:separator/>
      </w:r>
    </w:p>
  </w:endnote>
  <w:endnote w:type="continuationSeparator" w:id="0">
    <w:p w:rsidR="001A76EB" w:rsidRDefault="001A76EB"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793D8D">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EB" w:rsidRDefault="001A76EB" w:rsidP="002B073E">
      <w:pPr>
        <w:spacing w:after="0" w:line="240" w:lineRule="auto"/>
      </w:pPr>
      <w:r>
        <w:separator/>
      </w:r>
    </w:p>
  </w:footnote>
  <w:footnote w:type="continuationSeparator" w:id="0">
    <w:p w:rsidR="001A76EB" w:rsidRDefault="001A76EB"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17DE"/>
    <w:rsid w:val="00065D71"/>
    <w:rsid w:val="0009613C"/>
    <w:rsid w:val="000B60AE"/>
    <w:rsid w:val="000C0413"/>
    <w:rsid w:val="000C6A90"/>
    <w:rsid w:val="000C6B5B"/>
    <w:rsid w:val="000C7547"/>
    <w:rsid w:val="000F0F11"/>
    <w:rsid w:val="000F4D87"/>
    <w:rsid w:val="001037BC"/>
    <w:rsid w:val="00113B9B"/>
    <w:rsid w:val="00113CAE"/>
    <w:rsid w:val="0013101B"/>
    <w:rsid w:val="001326C1"/>
    <w:rsid w:val="00135193"/>
    <w:rsid w:val="00137C9F"/>
    <w:rsid w:val="00150CDE"/>
    <w:rsid w:val="001566AA"/>
    <w:rsid w:val="001709BF"/>
    <w:rsid w:val="001756F0"/>
    <w:rsid w:val="00176789"/>
    <w:rsid w:val="00183278"/>
    <w:rsid w:val="001A76EB"/>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87BB5"/>
    <w:rsid w:val="003B071F"/>
    <w:rsid w:val="003B3E8B"/>
    <w:rsid w:val="003C3719"/>
    <w:rsid w:val="003C70D3"/>
    <w:rsid w:val="003E4EDD"/>
    <w:rsid w:val="003F2519"/>
    <w:rsid w:val="003F36F9"/>
    <w:rsid w:val="003F5155"/>
    <w:rsid w:val="0040557D"/>
    <w:rsid w:val="00434F6B"/>
    <w:rsid w:val="0043540A"/>
    <w:rsid w:val="004432D3"/>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1CFB"/>
    <w:rsid w:val="006A2FD5"/>
    <w:rsid w:val="006B08A6"/>
    <w:rsid w:val="006C35B9"/>
    <w:rsid w:val="006C4518"/>
    <w:rsid w:val="006D6FCB"/>
    <w:rsid w:val="006D7910"/>
    <w:rsid w:val="006F6DCB"/>
    <w:rsid w:val="007011E0"/>
    <w:rsid w:val="007155A6"/>
    <w:rsid w:val="007214DB"/>
    <w:rsid w:val="00724496"/>
    <w:rsid w:val="007256DB"/>
    <w:rsid w:val="00754982"/>
    <w:rsid w:val="0076369B"/>
    <w:rsid w:val="00773E59"/>
    <w:rsid w:val="00782D5B"/>
    <w:rsid w:val="0078789C"/>
    <w:rsid w:val="00793D8D"/>
    <w:rsid w:val="00795880"/>
    <w:rsid w:val="007B1408"/>
    <w:rsid w:val="007D7D55"/>
    <w:rsid w:val="00813611"/>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29C1"/>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 w:id="13674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2224</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213</cp:revision>
  <cp:lastPrinted>2016-11-23T05:58:00Z</cp:lastPrinted>
  <dcterms:created xsi:type="dcterms:W3CDTF">2016-10-25T05:39:00Z</dcterms:created>
  <dcterms:modified xsi:type="dcterms:W3CDTF">2017-09-07T12:33:00Z</dcterms:modified>
</cp:coreProperties>
</file>