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trHeight w:val="249"/>
          <w:jc w:val="center"/>
        </w:trPr>
        <w:tc>
          <w:tcPr>
            <w:tcW w:w="15174" w:type="dxa"/>
            <w:gridSpan w:val="2"/>
          </w:tcPr>
          <w:p w:rsidR="001F7A2A" w:rsidRPr="001F7A2A" w:rsidRDefault="001F7A2A" w:rsidP="001F7A2A">
            <w:pPr>
              <w:pStyle w:val="NoSpacing"/>
              <w:ind w:right="-64"/>
              <w:jc w:val="center"/>
              <w:rPr>
                <w:rFonts w:asciiTheme="majorHAnsi" w:hAnsiTheme="majorHAnsi" w:cs="Arial"/>
                <w:b/>
              </w:rPr>
            </w:pPr>
            <w:bookmarkStart w:id="0" w:name="_GoBack"/>
            <w:r w:rsidRPr="00661736">
              <w:rPr>
                <w:rFonts w:asciiTheme="majorHAnsi" w:hAnsiTheme="majorHAnsi" w:cs="Arial"/>
                <w:b/>
                <w:sz w:val="28"/>
              </w:rPr>
              <w:t>Ceramics &amp; Allied Product</w:t>
            </w:r>
            <w:bookmarkEnd w:id="0"/>
          </w:p>
        </w:tc>
      </w:tr>
      <w:tr w:rsidR="001F7A2A" w:rsidRPr="003615DF" w:rsidTr="001F7A2A">
        <w:trPr>
          <w:trHeight w:val="809"/>
          <w:jc w:val="center"/>
        </w:trPr>
        <w:tc>
          <w:tcPr>
            <w:tcW w:w="3514" w:type="dxa"/>
          </w:tcPr>
          <w:p w:rsidR="001F7A2A" w:rsidRPr="003615DF" w:rsidRDefault="00D06F8E" w:rsidP="003615DF">
            <w:pPr>
              <w:pStyle w:val="NoSpacing"/>
              <w:ind w:right="-64"/>
              <w:jc w:val="both"/>
              <w:rPr>
                <w:rFonts w:asciiTheme="majorHAnsi" w:hAnsiTheme="majorHAnsi" w:cs="Arial"/>
              </w:rPr>
            </w:pPr>
            <w:r>
              <w:rPr>
                <w:rFonts w:asciiTheme="majorHAnsi" w:hAnsiTheme="majorHAnsi" w:cs="Arial"/>
              </w:rPr>
              <w:t>1)</w:t>
            </w:r>
            <w:r w:rsidR="00D33CB2">
              <w:rPr>
                <w:rFonts w:asciiTheme="majorHAnsi" w:hAnsiTheme="majorHAnsi" w:cs="Arial"/>
              </w:rPr>
              <w:t xml:space="preserve"> </w:t>
            </w:r>
            <w:r w:rsidR="001F7A2A" w:rsidRPr="00BE25F8">
              <w:rPr>
                <w:rFonts w:asciiTheme="majorHAnsi" w:hAnsiTheme="majorHAnsi" w:cs="Arial"/>
              </w:rPr>
              <w:t>Duty Drawback</w:t>
            </w:r>
            <w:r w:rsidR="001F7A2A" w:rsidRPr="003615DF">
              <w:rPr>
                <w:rFonts w:asciiTheme="majorHAnsi" w:hAnsiTheme="majorHAnsi" w:cs="Arial"/>
              </w:rPr>
              <w:t xml:space="preserve"> </w:t>
            </w:r>
          </w:p>
        </w:tc>
        <w:tc>
          <w:tcPr>
            <w:tcW w:w="11660" w:type="dxa"/>
          </w:tcPr>
          <w:p w:rsidR="001F7A2A" w:rsidRPr="003615DF" w:rsidRDefault="001F7A2A" w:rsidP="003615DF">
            <w:pPr>
              <w:pStyle w:val="NoSpacing"/>
              <w:ind w:right="-64"/>
              <w:jc w:val="both"/>
              <w:rPr>
                <w:rFonts w:asciiTheme="majorHAnsi" w:hAnsiTheme="majorHAnsi" w:cs="Arial"/>
              </w:rPr>
            </w:pPr>
            <w:r w:rsidRPr="00BE25F8">
              <w:rPr>
                <w:rFonts w:asciiTheme="majorHAnsi" w:hAnsiTheme="majorHAnsi" w:cs="Arial"/>
              </w:rPr>
              <w:t>Exports of Ceramics and Refractories products are showing positive trend but the only visible benefit available to them is Duty Drawback.  But the Duty Drawback rates fixed are too low and the same are subject to a value cap which makes the incentives negligible. </w:t>
            </w:r>
          </w:p>
        </w:tc>
      </w:tr>
      <w:tr w:rsidR="001F7A2A" w:rsidRPr="003615DF" w:rsidTr="001F7A2A">
        <w:trPr>
          <w:trHeight w:val="800"/>
          <w:jc w:val="center"/>
        </w:trPr>
        <w:tc>
          <w:tcPr>
            <w:tcW w:w="3514" w:type="dxa"/>
          </w:tcPr>
          <w:p w:rsidR="001F7A2A" w:rsidRPr="00BE25F8" w:rsidRDefault="00D06F8E" w:rsidP="003615DF">
            <w:pPr>
              <w:pStyle w:val="NoSpacing"/>
              <w:ind w:right="-64"/>
              <w:jc w:val="both"/>
              <w:rPr>
                <w:rFonts w:asciiTheme="majorHAnsi" w:hAnsiTheme="majorHAnsi" w:cs="Arial"/>
              </w:rPr>
            </w:pPr>
            <w:r>
              <w:rPr>
                <w:rFonts w:asciiTheme="majorHAnsi" w:hAnsiTheme="majorHAnsi" w:cs="Arial"/>
              </w:rPr>
              <w:t>2)</w:t>
            </w:r>
            <w:r w:rsidR="00D33CB2">
              <w:rPr>
                <w:rFonts w:asciiTheme="majorHAnsi" w:hAnsiTheme="majorHAnsi" w:cs="Arial"/>
              </w:rPr>
              <w:t xml:space="preserve"> </w:t>
            </w:r>
            <w:r w:rsidR="001F7A2A">
              <w:rPr>
                <w:rFonts w:asciiTheme="majorHAnsi" w:hAnsiTheme="majorHAnsi" w:cs="Arial"/>
              </w:rPr>
              <w:t>S</w:t>
            </w:r>
            <w:r w:rsidR="001F7A2A" w:rsidRPr="00BE25F8">
              <w:rPr>
                <w:rFonts w:asciiTheme="majorHAnsi" w:hAnsiTheme="majorHAnsi" w:cs="Arial"/>
              </w:rPr>
              <w:t>afeguard Duty</w:t>
            </w:r>
          </w:p>
        </w:tc>
        <w:tc>
          <w:tcPr>
            <w:tcW w:w="11660" w:type="dxa"/>
          </w:tcPr>
          <w:p w:rsidR="001F7A2A" w:rsidRPr="00BE25F8" w:rsidRDefault="001F7A2A" w:rsidP="00BE25F8">
            <w:pPr>
              <w:shd w:val="clear" w:color="auto" w:fill="FFFFFF"/>
              <w:jc w:val="both"/>
              <w:rPr>
                <w:rFonts w:asciiTheme="majorHAnsi" w:hAnsiTheme="majorHAnsi" w:cs="Arial"/>
                <w:lang w:val="en-IN"/>
              </w:rPr>
            </w:pPr>
            <w:r w:rsidRPr="00BE25F8">
              <w:rPr>
                <w:rFonts w:asciiTheme="majorHAnsi" w:hAnsiTheme="majorHAnsi" w:cs="Arial"/>
                <w:lang w:val="en-IN"/>
              </w:rPr>
              <w:t>Of late sizable import of polymer is taking place particularly from China and this is causing injury to our domestic porcelain insulator industry. To protect the interest of the domestic industry, it is suggested that Government may please impose some safeguard duty on import of the item from China.</w:t>
            </w:r>
          </w:p>
        </w:tc>
      </w:tr>
      <w:tr w:rsidR="001F7A2A" w:rsidRPr="003615DF" w:rsidTr="001F7A2A">
        <w:trPr>
          <w:trHeight w:val="1004"/>
          <w:jc w:val="center"/>
        </w:trPr>
        <w:tc>
          <w:tcPr>
            <w:tcW w:w="3514" w:type="dxa"/>
          </w:tcPr>
          <w:p w:rsidR="001F7A2A" w:rsidRPr="003615DF" w:rsidRDefault="00D06F8E" w:rsidP="003615DF">
            <w:pPr>
              <w:pStyle w:val="NoSpacing"/>
              <w:ind w:right="-64"/>
              <w:jc w:val="both"/>
              <w:rPr>
                <w:rFonts w:asciiTheme="majorHAnsi" w:hAnsiTheme="majorHAnsi" w:cs="Arial"/>
                <w:bCs/>
              </w:rPr>
            </w:pPr>
            <w:r>
              <w:rPr>
                <w:rFonts w:asciiTheme="majorHAnsi" w:hAnsiTheme="majorHAnsi" w:cs="Arial"/>
              </w:rPr>
              <w:t>3)</w:t>
            </w:r>
            <w:r w:rsidR="00D33CB2">
              <w:rPr>
                <w:rFonts w:asciiTheme="majorHAnsi" w:hAnsiTheme="majorHAnsi" w:cs="Arial"/>
              </w:rPr>
              <w:t xml:space="preserve"> </w:t>
            </w:r>
            <w:r w:rsidR="001F7A2A" w:rsidRPr="00BE25F8">
              <w:rPr>
                <w:rFonts w:asciiTheme="majorHAnsi" w:hAnsiTheme="majorHAnsi" w:cs="Arial"/>
              </w:rPr>
              <w:t xml:space="preserve">Proposal For Technology </w:t>
            </w:r>
            <w:proofErr w:type="spellStart"/>
            <w:r w:rsidR="001F7A2A" w:rsidRPr="00BE25F8">
              <w:rPr>
                <w:rFonts w:asciiTheme="majorHAnsi" w:hAnsiTheme="majorHAnsi" w:cs="Arial"/>
              </w:rPr>
              <w:t>Upgradation</w:t>
            </w:r>
            <w:proofErr w:type="spellEnd"/>
            <w:r w:rsidR="001F7A2A" w:rsidRPr="00BE25F8">
              <w:rPr>
                <w:rFonts w:asciiTheme="majorHAnsi" w:hAnsiTheme="majorHAnsi" w:cs="Arial"/>
              </w:rPr>
              <w:t xml:space="preserve"> For Ceramic &amp; Allied Products Including Refractories And Providing </w:t>
            </w:r>
            <w:proofErr w:type="spellStart"/>
            <w:r w:rsidR="001F7A2A" w:rsidRPr="00BE25F8">
              <w:rPr>
                <w:rFonts w:asciiTheme="majorHAnsi" w:hAnsiTheme="majorHAnsi" w:cs="Arial"/>
              </w:rPr>
              <w:t>Contineous</w:t>
            </w:r>
            <w:proofErr w:type="spellEnd"/>
            <w:r w:rsidR="001F7A2A" w:rsidRPr="00BE25F8">
              <w:rPr>
                <w:rFonts w:asciiTheme="majorHAnsi" w:hAnsiTheme="majorHAnsi" w:cs="Arial"/>
              </w:rPr>
              <w:t xml:space="preserve"> Support On Research &amp; Development For Achieving Quantum Jump In Exports</w:t>
            </w:r>
          </w:p>
        </w:tc>
        <w:tc>
          <w:tcPr>
            <w:tcW w:w="11660" w:type="dxa"/>
          </w:tcPr>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xml:space="preserve">Presently our country is exporting traditional ceramic items namely Ceramic Tiles, </w:t>
            </w:r>
            <w:proofErr w:type="spellStart"/>
            <w:r w:rsidRPr="00BE25F8">
              <w:rPr>
                <w:rFonts w:asciiTheme="majorHAnsi" w:hAnsiTheme="majorHAnsi" w:cs="Arial"/>
              </w:rPr>
              <w:t>Sanitaryware</w:t>
            </w:r>
            <w:proofErr w:type="spellEnd"/>
            <w:r w:rsidRPr="00BE25F8">
              <w:rPr>
                <w:rFonts w:asciiTheme="majorHAnsi" w:hAnsiTheme="majorHAnsi" w:cs="Arial"/>
              </w:rPr>
              <w:t>, Tableware, Electrical Porcelain Insulators and Refractories.</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There is no doubt that there is enough scope for increase of export of the items of ceramics panel if required supports are made available as mentioned herein below:</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w:t>
            </w:r>
          </w:p>
          <w:p w:rsidR="001F7A2A" w:rsidRPr="00BE25F8" w:rsidRDefault="001F7A2A" w:rsidP="00BE25F8">
            <w:pPr>
              <w:pStyle w:val="NoSpacing"/>
              <w:ind w:right="-64"/>
              <w:jc w:val="both"/>
              <w:rPr>
                <w:rFonts w:asciiTheme="majorHAnsi" w:hAnsiTheme="majorHAnsi" w:cs="Arial"/>
                <w:b/>
              </w:rPr>
            </w:pPr>
            <w:r w:rsidRPr="00BE25F8">
              <w:rPr>
                <w:rFonts w:asciiTheme="majorHAnsi" w:hAnsiTheme="majorHAnsi" w:cs="Arial"/>
                <w:b/>
              </w:rPr>
              <w:t xml:space="preserve">Raw Materials </w:t>
            </w:r>
            <w:proofErr w:type="spellStart"/>
            <w:r w:rsidRPr="00BE25F8">
              <w:rPr>
                <w:rFonts w:asciiTheme="majorHAnsi" w:hAnsiTheme="majorHAnsi" w:cs="Arial"/>
                <w:b/>
              </w:rPr>
              <w:t>Benefication</w:t>
            </w:r>
            <w:proofErr w:type="spellEnd"/>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xml:space="preserve">For all sectors of ceramic industries to obtain standard quality of raw materials is a persistent problem. Installation of the common </w:t>
            </w:r>
            <w:proofErr w:type="spellStart"/>
            <w:r w:rsidRPr="00BE25F8">
              <w:rPr>
                <w:rFonts w:asciiTheme="majorHAnsi" w:hAnsiTheme="majorHAnsi" w:cs="Arial"/>
              </w:rPr>
              <w:t>benefication</w:t>
            </w:r>
            <w:proofErr w:type="spellEnd"/>
            <w:r w:rsidRPr="00BE25F8">
              <w:rPr>
                <w:rFonts w:asciiTheme="majorHAnsi" w:hAnsiTheme="majorHAnsi" w:cs="Arial"/>
              </w:rPr>
              <w:t xml:space="preserve"> plant for Ball Clay at Bikaner (Rajasthan) &amp; </w:t>
            </w:r>
            <w:proofErr w:type="spellStart"/>
            <w:r w:rsidRPr="00BE25F8">
              <w:rPr>
                <w:rFonts w:asciiTheme="majorHAnsi" w:hAnsiTheme="majorHAnsi" w:cs="Arial"/>
              </w:rPr>
              <w:t>Thangarh</w:t>
            </w:r>
            <w:proofErr w:type="spellEnd"/>
            <w:r w:rsidRPr="00BE25F8">
              <w:rPr>
                <w:rFonts w:asciiTheme="majorHAnsi" w:hAnsiTheme="majorHAnsi" w:cs="Arial"/>
              </w:rPr>
              <w:t xml:space="preserve"> (Gujarat) so that all the mines at those regions can use this common facility, the current rate of fired goods rejection would be minimized and save national waste of minerals. Environmental Pollution would be minimized in the process.</w:t>
            </w:r>
          </w:p>
          <w:p w:rsidR="001F7A2A" w:rsidRPr="00BE25F8" w:rsidRDefault="001F7A2A" w:rsidP="00BE25F8">
            <w:pPr>
              <w:pStyle w:val="NoSpacing"/>
              <w:ind w:right="-64"/>
              <w:jc w:val="both"/>
              <w:rPr>
                <w:rFonts w:asciiTheme="majorHAnsi" w:hAnsiTheme="majorHAnsi" w:cs="Arial"/>
                <w:sz w:val="14"/>
              </w:rPr>
            </w:pPr>
            <w:r w:rsidRPr="00BE25F8">
              <w:rPr>
                <w:rFonts w:asciiTheme="majorHAnsi" w:hAnsiTheme="majorHAnsi" w:cs="Arial"/>
              </w:rPr>
              <w:t> </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xml:space="preserve">For Refractory Industries, </w:t>
            </w:r>
            <w:proofErr w:type="spellStart"/>
            <w:r w:rsidRPr="00BE25F8">
              <w:rPr>
                <w:rFonts w:asciiTheme="majorHAnsi" w:hAnsiTheme="majorHAnsi" w:cs="Arial"/>
              </w:rPr>
              <w:t>benefication</w:t>
            </w:r>
            <w:proofErr w:type="spellEnd"/>
            <w:r w:rsidRPr="00BE25F8">
              <w:rPr>
                <w:rFonts w:asciiTheme="majorHAnsi" w:hAnsiTheme="majorHAnsi" w:cs="Arial"/>
              </w:rPr>
              <w:t xml:space="preserve"> of Raw Materials is required for (A) elimination/reduction in content of Iron Oxide and Lime from Bauxite, (B) for elimination of Silicon Di-Oxide from </w:t>
            </w:r>
            <w:proofErr w:type="spellStart"/>
            <w:r w:rsidRPr="00BE25F8">
              <w:rPr>
                <w:rFonts w:asciiTheme="majorHAnsi" w:hAnsiTheme="majorHAnsi" w:cs="Arial"/>
              </w:rPr>
              <w:t>Magnesite</w:t>
            </w:r>
            <w:proofErr w:type="spellEnd"/>
            <w:r w:rsidRPr="00BE25F8">
              <w:rPr>
                <w:rFonts w:asciiTheme="majorHAnsi" w:hAnsiTheme="majorHAnsi" w:cs="Arial"/>
              </w:rPr>
              <w:t xml:space="preserve">, (C) for conversion of Beach Sand to </w:t>
            </w:r>
            <w:proofErr w:type="spellStart"/>
            <w:r w:rsidRPr="00BE25F8">
              <w:rPr>
                <w:rFonts w:asciiTheme="majorHAnsi" w:hAnsiTheme="majorHAnsi" w:cs="Arial"/>
              </w:rPr>
              <w:t>Mullite</w:t>
            </w:r>
            <w:proofErr w:type="spellEnd"/>
            <w:r w:rsidRPr="00BE25F8">
              <w:rPr>
                <w:rFonts w:asciiTheme="majorHAnsi" w:hAnsiTheme="majorHAnsi" w:cs="Arial"/>
              </w:rPr>
              <w:t>.</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w:t>
            </w:r>
          </w:p>
          <w:p w:rsidR="001F7A2A" w:rsidRPr="00BE25F8" w:rsidRDefault="001F7A2A" w:rsidP="00BE25F8">
            <w:pPr>
              <w:pStyle w:val="NoSpacing"/>
              <w:ind w:right="-64"/>
              <w:jc w:val="both"/>
              <w:rPr>
                <w:rFonts w:asciiTheme="majorHAnsi" w:hAnsiTheme="majorHAnsi" w:cs="Arial"/>
                <w:b/>
              </w:rPr>
            </w:pPr>
            <w:r w:rsidRPr="00BE25F8">
              <w:rPr>
                <w:rFonts w:asciiTheme="majorHAnsi" w:hAnsiTheme="majorHAnsi" w:cs="Arial"/>
                <w:b/>
              </w:rPr>
              <w:t>Wall Tiles/Ceramic Tiles</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Wall Tiles Manufacturing Units can be modernized by installing Digital Printing Machine which will enable them to produce International Standard Products. This Digital Printing Technology &amp; Machine is not available in the country and cost of import is prohibitively costly. It is needed to develop the aforesaid Digital Printing Machine in the country so that units in the MSME Sector can also modernize their units to add further increase in export of the item.</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w:t>
            </w:r>
          </w:p>
          <w:p w:rsidR="001F7A2A" w:rsidRPr="00BE25F8" w:rsidRDefault="001F7A2A" w:rsidP="00BE25F8">
            <w:pPr>
              <w:pStyle w:val="NoSpacing"/>
              <w:ind w:right="-64"/>
              <w:jc w:val="both"/>
              <w:rPr>
                <w:rFonts w:asciiTheme="majorHAnsi" w:hAnsiTheme="majorHAnsi" w:cs="Arial"/>
                <w:b/>
              </w:rPr>
            </w:pPr>
            <w:r w:rsidRPr="00BE25F8">
              <w:rPr>
                <w:rFonts w:asciiTheme="majorHAnsi" w:hAnsiTheme="majorHAnsi" w:cs="Arial"/>
                <w:b/>
              </w:rPr>
              <w:t>Vitrified Tiles</w:t>
            </w:r>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xml:space="preserve">We are to modernize their manufacturing process to produce lighter weight tiles to compete in the international market </w:t>
            </w:r>
            <w:r w:rsidRPr="00BE25F8">
              <w:rPr>
                <w:rFonts w:asciiTheme="majorHAnsi" w:hAnsiTheme="majorHAnsi" w:cs="Arial"/>
              </w:rPr>
              <w:lastRenderedPageBreak/>
              <w:t>mainly due to high cost of freight charge. This industry needs Research &amp; Development support from Government to develop low temperature matured vitrified tiles body to manufacture light weight products. This will help in enhancing export of this product.</w:t>
            </w:r>
          </w:p>
          <w:p w:rsidR="001F7A2A" w:rsidRDefault="001F7A2A" w:rsidP="00BE25F8">
            <w:pPr>
              <w:pStyle w:val="NoSpacing"/>
              <w:ind w:right="-64"/>
              <w:jc w:val="both"/>
              <w:rPr>
                <w:rFonts w:asciiTheme="majorHAnsi" w:hAnsiTheme="majorHAnsi" w:cs="Arial"/>
                <w:b/>
              </w:rPr>
            </w:pPr>
          </w:p>
          <w:p w:rsidR="001F7A2A" w:rsidRPr="00BE25F8" w:rsidRDefault="001F7A2A" w:rsidP="00BE25F8">
            <w:pPr>
              <w:pStyle w:val="NoSpacing"/>
              <w:ind w:right="-64"/>
              <w:jc w:val="both"/>
              <w:rPr>
                <w:rFonts w:asciiTheme="majorHAnsi" w:hAnsiTheme="majorHAnsi" w:cs="Arial"/>
                <w:b/>
              </w:rPr>
            </w:pPr>
            <w:proofErr w:type="spellStart"/>
            <w:r w:rsidRPr="00BE25F8">
              <w:rPr>
                <w:rFonts w:asciiTheme="majorHAnsi" w:hAnsiTheme="majorHAnsi" w:cs="Arial"/>
                <w:b/>
              </w:rPr>
              <w:t>Sanitaryware</w:t>
            </w:r>
            <w:proofErr w:type="spellEnd"/>
          </w:p>
          <w:p w:rsidR="001F7A2A" w:rsidRPr="00BE25F8" w:rsidRDefault="001F7A2A" w:rsidP="00BE25F8">
            <w:pPr>
              <w:pStyle w:val="NoSpacing"/>
              <w:ind w:right="-64"/>
              <w:jc w:val="both"/>
              <w:rPr>
                <w:rFonts w:asciiTheme="majorHAnsi" w:hAnsiTheme="majorHAnsi" w:cs="Arial"/>
              </w:rPr>
            </w:pPr>
            <w:r w:rsidRPr="00BE25F8">
              <w:rPr>
                <w:rFonts w:asciiTheme="majorHAnsi" w:hAnsiTheme="majorHAnsi" w:cs="Arial"/>
              </w:rPr>
              <w:t xml:space="preserve">To encourage higher export of </w:t>
            </w:r>
            <w:proofErr w:type="spellStart"/>
            <w:r w:rsidRPr="00BE25F8">
              <w:rPr>
                <w:rFonts w:asciiTheme="majorHAnsi" w:hAnsiTheme="majorHAnsi" w:cs="Arial"/>
              </w:rPr>
              <w:t>sanitarywares</w:t>
            </w:r>
            <w:proofErr w:type="spellEnd"/>
            <w:r w:rsidRPr="00BE25F8">
              <w:rPr>
                <w:rFonts w:asciiTheme="majorHAnsi" w:hAnsiTheme="majorHAnsi" w:cs="Arial"/>
              </w:rPr>
              <w:t>, units in the MSME Sector need to be modernized with necessary help for:-</w:t>
            </w:r>
          </w:p>
          <w:p w:rsidR="001F7A2A" w:rsidRPr="00BE25F8" w:rsidRDefault="001F7A2A" w:rsidP="00BE25F8">
            <w:pPr>
              <w:pStyle w:val="NoSpacing"/>
              <w:numPr>
                <w:ilvl w:val="0"/>
                <w:numId w:val="17"/>
              </w:numPr>
              <w:ind w:right="-64"/>
              <w:jc w:val="both"/>
              <w:rPr>
                <w:rFonts w:asciiTheme="majorHAnsi" w:hAnsiTheme="majorHAnsi" w:cs="Arial"/>
              </w:rPr>
            </w:pPr>
            <w:r w:rsidRPr="00BE25F8">
              <w:rPr>
                <w:rFonts w:asciiTheme="majorHAnsi" w:hAnsiTheme="majorHAnsi" w:cs="Arial"/>
              </w:rPr>
              <w:t>Technical Guidance for Battery Castings &amp; Blow Castings</w:t>
            </w:r>
          </w:p>
          <w:p w:rsidR="001F7A2A" w:rsidRPr="00BE25F8" w:rsidRDefault="001F7A2A" w:rsidP="00BE25F8">
            <w:pPr>
              <w:pStyle w:val="NoSpacing"/>
              <w:numPr>
                <w:ilvl w:val="0"/>
                <w:numId w:val="17"/>
              </w:numPr>
              <w:ind w:right="-64"/>
              <w:jc w:val="both"/>
              <w:rPr>
                <w:rFonts w:asciiTheme="majorHAnsi" w:hAnsiTheme="majorHAnsi" w:cs="Arial"/>
              </w:rPr>
            </w:pPr>
            <w:r w:rsidRPr="00BE25F8">
              <w:rPr>
                <w:rFonts w:asciiTheme="majorHAnsi" w:hAnsiTheme="majorHAnsi" w:cs="Arial"/>
              </w:rPr>
              <w:t>Reduction of Firing Cycle to a considerable extent for saving in consumption of fuel</w:t>
            </w:r>
          </w:p>
          <w:p w:rsidR="001F7A2A" w:rsidRPr="00BE25F8" w:rsidRDefault="001F7A2A" w:rsidP="00BE25F8">
            <w:pPr>
              <w:pStyle w:val="NoSpacing"/>
              <w:numPr>
                <w:ilvl w:val="0"/>
                <w:numId w:val="17"/>
              </w:numPr>
              <w:ind w:right="-64"/>
              <w:jc w:val="both"/>
              <w:rPr>
                <w:rFonts w:asciiTheme="majorHAnsi" w:hAnsiTheme="majorHAnsi" w:cs="Arial"/>
              </w:rPr>
            </w:pPr>
            <w:r w:rsidRPr="00BE25F8">
              <w:rPr>
                <w:rFonts w:asciiTheme="majorHAnsi" w:hAnsiTheme="majorHAnsi" w:cs="Arial"/>
              </w:rPr>
              <w:t>Suitable Body Glaze Development to match the shorter firing cycle</w:t>
            </w:r>
          </w:p>
          <w:p w:rsidR="001F7A2A" w:rsidRPr="00BE25F8" w:rsidRDefault="001F7A2A" w:rsidP="00BE25F8">
            <w:pPr>
              <w:pStyle w:val="NoSpacing"/>
              <w:numPr>
                <w:ilvl w:val="0"/>
                <w:numId w:val="17"/>
              </w:numPr>
              <w:ind w:right="-64"/>
              <w:jc w:val="both"/>
              <w:rPr>
                <w:rFonts w:asciiTheme="majorHAnsi" w:hAnsiTheme="majorHAnsi" w:cs="Arial"/>
              </w:rPr>
            </w:pPr>
            <w:r w:rsidRPr="00BE25F8">
              <w:rPr>
                <w:rFonts w:asciiTheme="majorHAnsi" w:hAnsiTheme="majorHAnsi" w:cs="Arial"/>
              </w:rPr>
              <w:t>Development of Quality Plaster of Paris for making of Moulds</w:t>
            </w:r>
          </w:p>
          <w:p w:rsidR="001F7A2A" w:rsidRPr="001F7A2A" w:rsidRDefault="001F7A2A" w:rsidP="00BE25F8">
            <w:pPr>
              <w:pStyle w:val="NoSpacing"/>
              <w:ind w:right="-64"/>
              <w:jc w:val="both"/>
              <w:rPr>
                <w:rFonts w:asciiTheme="majorHAnsi" w:hAnsiTheme="majorHAnsi" w:cs="Arial"/>
                <w:sz w:val="18"/>
              </w:rPr>
            </w:pPr>
            <w:r w:rsidRPr="00BE25F8">
              <w:rPr>
                <w:rFonts w:asciiTheme="majorHAnsi" w:hAnsiTheme="majorHAnsi" w:cs="Arial"/>
              </w:rPr>
              <w:t> </w:t>
            </w:r>
          </w:p>
          <w:p w:rsidR="001F7A2A" w:rsidRPr="00BE25F8" w:rsidRDefault="001F7A2A" w:rsidP="00BE25F8">
            <w:pPr>
              <w:pStyle w:val="NoSpacing"/>
              <w:ind w:right="-64"/>
              <w:jc w:val="both"/>
              <w:rPr>
                <w:rFonts w:asciiTheme="majorHAnsi" w:hAnsiTheme="majorHAnsi" w:cs="Arial"/>
                <w:b/>
              </w:rPr>
            </w:pPr>
            <w:r w:rsidRPr="00BE25F8">
              <w:rPr>
                <w:rFonts w:asciiTheme="majorHAnsi" w:hAnsiTheme="majorHAnsi" w:cs="Arial"/>
                <w:b/>
              </w:rPr>
              <w:t>Disposal of Fired Ceramic Waste</w:t>
            </w:r>
          </w:p>
          <w:p w:rsidR="001F7A2A" w:rsidRPr="00BE25F8" w:rsidRDefault="001F7A2A" w:rsidP="00BE25F8">
            <w:pPr>
              <w:pStyle w:val="NoSpacing"/>
              <w:ind w:right="-64"/>
              <w:jc w:val="both"/>
              <w:rPr>
                <w:rFonts w:ascii="Arial" w:eastAsia="Times New Roman" w:hAnsi="Arial" w:cs="Arial"/>
                <w:color w:val="222222"/>
                <w:sz w:val="19"/>
                <w:szCs w:val="19"/>
              </w:rPr>
            </w:pPr>
            <w:r w:rsidRPr="00BE25F8">
              <w:rPr>
                <w:rFonts w:asciiTheme="majorHAnsi" w:hAnsiTheme="majorHAnsi" w:cs="Arial"/>
              </w:rPr>
              <w:t>All the ceramic units suffer from a common problem of disposing of their fired ceramic waste. Immediate attention needs to be given by the Government to find out the ways and means to solve the problem. The best way may be to conduct research for recycling of the said waste which will help in reduction in cost of production. As an interim measure the waste may be utilized as a Raw Material for construction of Roads particularly while laying the foundation.</w:t>
            </w:r>
          </w:p>
        </w:tc>
      </w:tr>
      <w:tr w:rsidR="001F7A2A" w:rsidRPr="003615DF" w:rsidTr="001F7A2A">
        <w:trPr>
          <w:trHeight w:val="521"/>
          <w:jc w:val="center"/>
        </w:trPr>
        <w:tc>
          <w:tcPr>
            <w:tcW w:w="3514" w:type="dxa"/>
          </w:tcPr>
          <w:p w:rsidR="001F7A2A" w:rsidRPr="00BE25F8" w:rsidRDefault="00D06F8E" w:rsidP="003615DF">
            <w:pPr>
              <w:pStyle w:val="NoSpacing"/>
              <w:ind w:right="-64"/>
              <w:jc w:val="both"/>
              <w:rPr>
                <w:rFonts w:asciiTheme="majorHAnsi" w:hAnsiTheme="majorHAnsi" w:cs="Arial"/>
              </w:rPr>
            </w:pPr>
            <w:r>
              <w:rPr>
                <w:rFonts w:asciiTheme="majorHAnsi" w:hAnsiTheme="majorHAnsi" w:cs="Arial"/>
              </w:rPr>
              <w:lastRenderedPageBreak/>
              <w:t>4)</w:t>
            </w:r>
            <w:r w:rsidR="00D33CB2">
              <w:rPr>
                <w:rFonts w:asciiTheme="majorHAnsi" w:hAnsiTheme="majorHAnsi" w:cs="Arial"/>
              </w:rPr>
              <w:t xml:space="preserve"> </w:t>
            </w:r>
            <w:r w:rsidR="001F7A2A">
              <w:rPr>
                <w:rFonts w:asciiTheme="majorHAnsi" w:hAnsiTheme="majorHAnsi" w:cs="Arial"/>
              </w:rPr>
              <w:t>Conservation o</w:t>
            </w:r>
            <w:r w:rsidR="001F7A2A" w:rsidRPr="00BE25F8">
              <w:rPr>
                <w:rFonts w:asciiTheme="majorHAnsi" w:hAnsiTheme="majorHAnsi" w:cs="Arial"/>
              </w:rPr>
              <w:t>f Natural Resources</w:t>
            </w:r>
          </w:p>
        </w:tc>
        <w:tc>
          <w:tcPr>
            <w:tcW w:w="11660" w:type="dxa"/>
          </w:tcPr>
          <w:p w:rsidR="001F7A2A" w:rsidRPr="00BE25F8" w:rsidRDefault="001F7A2A" w:rsidP="001F7A2A">
            <w:pPr>
              <w:pStyle w:val="NoSpacing"/>
              <w:ind w:right="-64"/>
              <w:jc w:val="both"/>
              <w:rPr>
                <w:rFonts w:ascii="Calibri" w:eastAsia="Times New Roman" w:hAnsi="Calibri" w:cs="Calibri"/>
                <w:color w:val="222222"/>
              </w:rPr>
            </w:pPr>
            <w:r w:rsidRPr="001F7A2A">
              <w:rPr>
                <w:rFonts w:asciiTheme="majorHAnsi" w:hAnsiTheme="majorHAnsi" w:cs="Arial"/>
              </w:rPr>
              <w:t>To conserve the Indian Natural Resources, like China, approached Govt. of India to ban on export of mineral products used in Ceramic Industry as raw material viz. Feldspar, Quartz, Ball Clay, China Clay, etc.</w:t>
            </w:r>
          </w:p>
        </w:tc>
      </w:tr>
    </w:tbl>
    <w:p w:rsidR="006F6DCB" w:rsidRDefault="006F6DCB" w:rsidP="00297C95">
      <w:pPr>
        <w:spacing w:after="0" w:line="240" w:lineRule="auto"/>
        <w:jc w:val="center"/>
        <w:rPr>
          <w:rFonts w:asciiTheme="majorHAnsi" w:hAnsiTheme="majorHAnsi" w:cs="Arial"/>
        </w:rPr>
      </w:pPr>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68" w:rsidRDefault="005E4B68" w:rsidP="002B073E">
      <w:pPr>
        <w:spacing w:after="0" w:line="240" w:lineRule="auto"/>
      </w:pPr>
      <w:r>
        <w:separator/>
      </w:r>
    </w:p>
  </w:endnote>
  <w:endnote w:type="continuationSeparator" w:id="0">
    <w:p w:rsidR="005E4B68" w:rsidRDefault="005E4B68"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867A8E">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68" w:rsidRDefault="005E4B68" w:rsidP="002B073E">
      <w:pPr>
        <w:spacing w:after="0" w:line="240" w:lineRule="auto"/>
      </w:pPr>
      <w:r>
        <w:separator/>
      </w:r>
    </w:p>
  </w:footnote>
  <w:footnote w:type="continuationSeparator" w:id="0">
    <w:p w:rsidR="005E4B68" w:rsidRDefault="005E4B68"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5E4B68"/>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67A8E"/>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208</cp:revision>
  <cp:lastPrinted>2016-11-23T05:58:00Z</cp:lastPrinted>
  <dcterms:created xsi:type="dcterms:W3CDTF">2016-10-25T05:39:00Z</dcterms:created>
  <dcterms:modified xsi:type="dcterms:W3CDTF">2017-09-04T11:57:00Z</dcterms:modified>
</cp:coreProperties>
</file>