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34281B"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LIST OF PENDING ISSUES (PANEL WISE)</w:t>
      </w:r>
    </w:p>
    <w:p w:rsidR="000C0413" w:rsidRPr="000C0413" w:rsidRDefault="000C0413"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1F7A2A" w:rsidRPr="003615DF" w:rsidTr="001F7A2A">
        <w:trPr>
          <w:trHeight w:val="230"/>
          <w:jc w:val="center"/>
        </w:trPr>
        <w:tc>
          <w:tcPr>
            <w:tcW w:w="15174" w:type="dxa"/>
            <w:gridSpan w:val="2"/>
            <w:shd w:val="clear" w:color="auto" w:fill="auto"/>
          </w:tcPr>
          <w:p w:rsidR="001F7A2A" w:rsidRPr="001F7A2A" w:rsidRDefault="001F7A2A" w:rsidP="001F7A2A">
            <w:pPr>
              <w:jc w:val="center"/>
              <w:rPr>
                <w:rFonts w:asciiTheme="majorHAnsi" w:hAnsiTheme="majorHAnsi" w:cs="Arial"/>
                <w:b/>
                <w:sz w:val="24"/>
              </w:rPr>
            </w:pPr>
            <w:r w:rsidRPr="00EB1185">
              <w:rPr>
                <w:rFonts w:asciiTheme="majorHAnsi" w:hAnsiTheme="majorHAnsi" w:cs="Arial"/>
                <w:b/>
                <w:sz w:val="28"/>
              </w:rPr>
              <w:t>Books, Publications and Printing Panel</w:t>
            </w:r>
          </w:p>
        </w:tc>
      </w:tr>
      <w:tr w:rsidR="001F7A2A" w:rsidRPr="003615DF" w:rsidTr="001F7A2A">
        <w:trPr>
          <w:trHeight w:val="230"/>
          <w:jc w:val="center"/>
        </w:trPr>
        <w:tc>
          <w:tcPr>
            <w:tcW w:w="3514" w:type="dxa"/>
          </w:tcPr>
          <w:p w:rsidR="001F7A2A" w:rsidRPr="003615DF" w:rsidRDefault="001F7A2A" w:rsidP="003615DF">
            <w:pPr>
              <w:jc w:val="both"/>
              <w:rPr>
                <w:rFonts w:asciiTheme="majorHAnsi" w:hAnsiTheme="majorHAnsi" w:cs="Arial"/>
              </w:rPr>
            </w:pPr>
            <w:r>
              <w:rPr>
                <w:rFonts w:asciiTheme="majorHAnsi" w:hAnsiTheme="majorHAnsi" w:cs="Arial"/>
              </w:rPr>
              <w:t xml:space="preserve">1) </w:t>
            </w:r>
            <w:r w:rsidRPr="003615DF">
              <w:rPr>
                <w:rFonts w:asciiTheme="majorHAnsi" w:hAnsiTheme="majorHAnsi" w:cs="Arial"/>
              </w:rPr>
              <w:t>Inclusion of e-books in to CAPEXIL’s portfolio</w:t>
            </w:r>
          </w:p>
        </w:tc>
        <w:tc>
          <w:tcPr>
            <w:tcW w:w="11660" w:type="dxa"/>
          </w:tcPr>
          <w:p w:rsidR="001F7A2A" w:rsidRPr="00EB1185" w:rsidRDefault="00EB1185" w:rsidP="003615DF">
            <w:pPr>
              <w:jc w:val="both"/>
              <w:rPr>
                <w:rFonts w:asciiTheme="majorHAnsi" w:hAnsiTheme="majorHAnsi" w:cs="Arial"/>
              </w:rPr>
            </w:pPr>
            <w:r>
              <w:rPr>
                <w:rFonts w:asciiTheme="majorHAnsi" w:hAnsiTheme="majorHAnsi" w:cs="Arial"/>
              </w:rPr>
              <w:t xml:space="preserve">As advised by </w:t>
            </w:r>
            <w:proofErr w:type="gramStart"/>
            <w:r w:rsidR="001F7A2A" w:rsidRPr="003615DF">
              <w:rPr>
                <w:rFonts w:asciiTheme="majorHAnsi" w:hAnsiTheme="majorHAnsi" w:cs="Arial"/>
              </w:rPr>
              <w:t>JS(</w:t>
            </w:r>
            <w:proofErr w:type="gramEnd"/>
            <w:r w:rsidR="001F7A2A" w:rsidRPr="003615DF">
              <w:rPr>
                <w:rFonts w:asciiTheme="majorHAnsi" w:hAnsiTheme="majorHAnsi" w:cs="Arial"/>
              </w:rPr>
              <w:t xml:space="preserve">SK) </w:t>
            </w:r>
            <w:r>
              <w:rPr>
                <w:rFonts w:asciiTheme="majorHAnsi" w:hAnsiTheme="majorHAnsi" w:cs="Arial"/>
              </w:rPr>
              <w:t>t</w:t>
            </w:r>
            <w:r w:rsidR="001F7A2A" w:rsidRPr="003615DF">
              <w:rPr>
                <w:rFonts w:asciiTheme="majorHAnsi" w:hAnsiTheme="majorHAnsi" w:cs="Arial"/>
              </w:rPr>
              <w:t xml:space="preserve">he Council wrote to DGFT and this Division also requested DGFT to examine the same vide OM dated 6/8/2014-EP(CAP) dated 27.10.2016. </w:t>
            </w:r>
          </w:p>
        </w:tc>
      </w:tr>
      <w:tr w:rsidR="001F7A2A" w:rsidRPr="003615DF" w:rsidTr="001F7A2A">
        <w:trPr>
          <w:trHeight w:val="230"/>
          <w:jc w:val="center"/>
        </w:trPr>
        <w:tc>
          <w:tcPr>
            <w:tcW w:w="3514" w:type="dxa"/>
          </w:tcPr>
          <w:p w:rsidR="001F7A2A" w:rsidRPr="003615DF" w:rsidRDefault="001F7A2A" w:rsidP="003615DF">
            <w:pPr>
              <w:jc w:val="both"/>
              <w:rPr>
                <w:rFonts w:asciiTheme="majorHAnsi" w:hAnsiTheme="majorHAnsi" w:cs="Arial"/>
              </w:rPr>
            </w:pPr>
            <w:r>
              <w:rPr>
                <w:rFonts w:asciiTheme="majorHAnsi" w:hAnsiTheme="majorHAnsi" w:cs="Arial"/>
              </w:rPr>
              <w:t xml:space="preserve">2) </w:t>
            </w:r>
            <w:r w:rsidRPr="003615DF">
              <w:rPr>
                <w:rFonts w:asciiTheme="majorHAnsi" w:hAnsiTheme="majorHAnsi" w:cs="Arial"/>
              </w:rPr>
              <w:t>MEIS Scheme Rewards under category C</w:t>
            </w:r>
          </w:p>
        </w:tc>
        <w:tc>
          <w:tcPr>
            <w:tcW w:w="11660" w:type="dxa"/>
          </w:tcPr>
          <w:p w:rsidR="001F7A2A" w:rsidRPr="003615DF" w:rsidRDefault="001F7A2A" w:rsidP="003615DF">
            <w:pPr>
              <w:pStyle w:val="NoSpacing"/>
              <w:ind w:right="-64"/>
              <w:jc w:val="both"/>
              <w:rPr>
                <w:rFonts w:asciiTheme="majorHAnsi" w:hAnsiTheme="majorHAnsi" w:cs="Arial"/>
              </w:rPr>
            </w:pPr>
            <w:proofErr w:type="gramStart"/>
            <w:r w:rsidRPr="003615DF">
              <w:rPr>
                <w:rFonts w:asciiTheme="majorHAnsi" w:hAnsiTheme="majorHAnsi" w:cs="Arial"/>
              </w:rPr>
              <w:t>JS(</w:t>
            </w:r>
            <w:proofErr w:type="gramEnd"/>
            <w:r w:rsidRPr="003615DF">
              <w:rPr>
                <w:rFonts w:asciiTheme="majorHAnsi" w:hAnsiTheme="majorHAnsi" w:cs="Arial"/>
              </w:rPr>
              <w:t>SK) informed that the Government Budget is limited. However, the issue will be taken up with DGFT</w:t>
            </w:r>
          </w:p>
        </w:tc>
      </w:tr>
      <w:tr w:rsidR="001F7A2A" w:rsidRPr="003615DF" w:rsidTr="001F7A2A">
        <w:trPr>
          <w:trHeight w:val="230"/>
          <w:jc w:val="center"/>
        </w:trPr>
        <w:tc>
          <w:tcPr>
            <w:tcW w:w="3514" w:type="dxa"/>
          </w:tcPr>
          <w:p w:rsidR="001F7A2A" w:rsidRPr="003615DF" w:rsidRDefault="001F7A2A" w:rsidP="003615DF">
            <w:pPr>
              <w:jc w:val="both"/>
              <w:rPr>
                <w:rFonts w:asciiTheme="majorHAnsi" w:hAnsiTheme="majorHAnsi" w:cs="Arial"/>
              </w:rPr>
            </w:pPr>
            <w:r>
              <w:rPr>
                <w:rFonts w:asciiTheme="majorHAnsi" w:hAnsiTheme="majorHAnsi" w:cs="Arial"/>
                <w:bCs/>
              </w:rPr>
              <w:t xml:space="preserve">3) </w:t>
            </w:r>
            <w:r w:rsidRPr="003615DF">
              <w:rPr>
                <w:rFonts w:asciiTheme="majorHAnsi" w:hAnsiTheme="majorHAnsi" w:cs="Arial"/>
                <w:bCs/>
              </w:rPr>
              <w:t>Export of Books by Post</w:t>
            </w:r>
          </w:p>
        </w:tc>
        <w:tc>
          <w:tcPr>
            <w:tcW w:w="11660" w:type="dxa"/>
          </w:tcPr>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The issue has been taken up with D/o Posts vide OM no</w:t>
            </w:r>
            <w:proofErr w:type="gramStart"/>
            <w:r w:rsidRPr="003615DF">
              <w:rPr>
                <w:rFonts w:asciiTheme="majorHAnsi" w:hAnsiTheme="majorHAnsi" w:cs="Arial"/>
              </w:rPr>
              <w:t>.-</w:t>
            </w:r>
            <w:proofErr w:type="gramEnd"/>
            <w:r w:rsidRPr="003615DF">
              <w:rPr>
                <w:rFonts w:asciiTheme="majorHAnsi" w:hAnsiTheme="majorHAnsi" w:cs="Arial"/>
              </w:rPr>
              <w:t xml:space="preserve"> 6/4/2014-EP(CAP) dated 16.11.2016.</w:t>
            </w:r>
          </w:p>
        </w:tc>
      </w:tr>
      <w:tr w:rsidR="001F7A2A" w:rsidRPr="003615DF" w:rsidTr="001F7A2A">
        <w:trPr>
          <w:trHeight w:val="230"/>
          <w:jc w:val="center"/>
        </w:trPr>
        <w:tc>
          <w:tcPr>
            <w:tcW w:w="3514" w:type="dxa"/>
          </w:tcPr>
          <w:p w:rsidR="001F7A2A" w:rsidRPr="003615DF" w:rsidRDefault="001F7A2A" w:rsidP="003615DF">
            <w:pPr>
              <w:jc w:val="both"/>
              <w:rPr>
                <w:rFonts w:asciiTheme="majorHAnsi" w:hAnsiTheme="majorHAnsi" w:cs="Arial"/>
                <w:bCs/>
              </w:rPr>
            </w:pPr>
            <w:r>
              <w:rPr>
                <w:rFonts w:asciiTheme="majorHAnsi" w:hAnsiTheme="majorHAnsi" w:cs="Arial"/>
                <w:bCs/>
              </w:rPr>
              <w:t xml:space="preserve">4) </w:t>
            </w:r>
            <w:r w:rsidRPr="003615DF">
              <w:rPr>
                <w:rFonts w:asciiTheme="majorHAnsi" w:hAnsiTheme="majorHAnsi" w:cs="Arial"/>
                <w:bCs/>
              </w:rPr>
              <w:t>Export of Books to Afghanistan, Bangladesh, Maldives, and Sri Lanka</w:t>
            </w:r>
          </w:p>
        </w:tc>
        <w:tc>
          <w:tcPr>
            <w:tcW w:w="11660" w:type="dxa"/>
          </w:tcPr>
          <w:p w:rsidR="001F7A2A" w:rsidRPr="003615DF" w:rsidRDefault="001F7A2A" w:rsidP="00EB1185">
            <w:pPr>
              <w:pStyle w:val="NoSpacing"/>
              <w:ind w:right="-64"/>
              <w:jc w:val="both"/>
              <w:rPr>
                <w:rFonts w:asciiTheme="majorHAnsi" w:hAnsiTheme="majorHAnsi" w:cs="Arial"/>
              </w:rPr>
            </w:pPr>
            <w:r w:rsidRPr="003615DF">
              <w:rPr>
                <w:rFonts w:asciiTheme="majorHAnsi" w:hAnsiTheme="majorHAnsi" w:cs="Arial"/>
              </w:rPr>
              <w:t>Afghanistan, Bangladesh, Maldives and Sri Lanka should be provided with MEIS Scheme Rewards because almost 10% of India’s Export of these products goes to these neighbouring countries.</w:t>
            </w:r>
          </w:p>
        </w:tc>
      </w:tr>
      <w:tr w:rsidR="001F7A2A" w:rsidRPr="003615DF" w:rsidTr="001F7A2A">
        <w:trPr>
          <w:trHeight w:val="230"/>
          <w:jc w:val="center"/>
        </w:trPr>
        <w:tc>
          <w:tcPr>
            <w:tcW w:w="3514" w:type="dxa"/>
          </w:tcPr>
          <w:p w:rsidR="001F7A2A" w:rsidRPr="003615DF" w:rsidRDefault="001F7A2A" w:rsidP="003615DF">
            <w:pPr>
              <w:pStyle w:val="NoSpacing"/>
              <w:ind w:right="-64"/>
              <w:jc w:val="both"/>
              <w:rPr>
                <w:rFonts w:asciiTheme="majorHAnsi" w:hAnsiTheme="majorHAnsi" w:cs="Arial"/>
              </w:rPr>
            </w:pPr>
            <w:r>
              <w:rPr>
                <w:rFonts w:asciiTheme="majorHAnsi" w:hAnsiTheme="majorHAnsi" w:cs="Arial"/>
              </w:rPr>
              <w:t xml:space="preserve">5) </w:t>
            </w:r>
            <w:r w:rsidRPr="003615DF">
              <w:rPr>
                <w:rFonts w:asciiTheme="majorHAnsi" w:hAnsiTheme="majorHAnsi" w:cs="Arial"/>
              </w:rPr>
              <w:t>Small value shipments</w:t>
            </w:r>
          </w:p>
        </w:tc>
        <w:tc>
          <w:tcPr>
            <w:tcW w:w="11660" w:type="dxa"/>
          </w:tcPr>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rPr>
              <w:t xml:space="preserve">Small value shipments require the same level of documentation and transaction costs as in the case of large value container shipments.  Books and such other consumer material which has a large contingent of </w:t>
            </w:r>
            <w:proofErr w:type="gramStart"/>
            <w:r w:rsidRPr="003615DF">
              <w:rPr>
                <w:rFonts w:asciiTheme="majorHAnsi" w:hAnsiTheme="majorHAnsi" w:cs="Arial"/>
              </w:rPr>
              <w:t>customers</w:t>
            </w:r>
            <w:proofErr w:type="gramEnd"/>
            <w:r w:rsidRPr="003615DF">
              <w:rPr>
                <w:rFonts w:asciiTheme="majorHAnsi" w:hAnsiTheme="majorHAnsi" w:cs="Arial"/>
              </w:rPr>
              <w:t xml:space="preserve"> world over have small value individual buyers.  Because of the cost involved and the documentation required exports are slowly going down.  Some minimum amount says US$ 2000 may be fixed for small value shipments without such heavy documentation in terms of export as well as banking.</w:t>
            </w:r>
          </w:p>
        </w:tc>
      </w:tr>
      <w:tr w:rsidR="001F7A2A" w:rsidRPr="003615DF" w:rsidTr="001F7A2A">
        <w:trPr>
          <w:trHeight w:val="230"/>
          <w:jc w:val="center"/>
        </w:trPr>
        <w:tc>
          <w:tcPr>
            <w:tcW w:w="3514" w:type="dxa"/>
          </w:tcPr>
          <w:p w:rsidR="001F7A2A" w:rsidRPr="003615DF" w:rsidRDefault="001F7A2A" w:rsidP="003615DF">
            <w:pPr>
              <w:pStyle w:val="NoSpacing"/>
              <w:ind w:right="-64"/>
              <w:jc w:val="both"/>
              <w:rPr>
                <w:rFonts w:asciiTheme="majorHAnsi" w:hAnsiTheme="majorHAnsi" w:cs="Arial"/>
              </w:rPr>
            </w:pPr>
            <w:r>
              <w:rPr>
                <w:rFonts w:asciiTheme="majorHAnsi" w:hAnsiTheme="majorHAnsi" w:cs="Arial"/>
              </w:rPr>
              <w:t xml:space="preserve">6) </w:t>
            </w:r>
            <w:r w:rsidRPr="003615DF">
              <w:rPr>
                <w:rFonts w:asciiTheme="majorHAnsi" w:hAnsiTheme="majorHAnsi" w:cs="Arial"/>
              </w:rPr>
              <w:t>Banks require confirmatory letters for payment from the buyers, Third Party Payments and Documentation in respect of small value invoices</w:t>
            </w:r>
          </w:p>
        </w:tc>
        <w:tc>
          <w:tcPr>
            <w:tcW w:w="11660" w:type="dxa"/>
          </w:tcPr>
          <w:p w:rsidR="001F7A2A" w:rsidRPr="003615DF" w:rsidRDefault="00EB1185" w:rsidP="003615DF">
            <w:pPr>
              <w:pStyle w:val="NoSpacing"/>
              <w:ind w:right="-64"/>
              <w:jc w:val="both"/>
              <w:rPr>
                <w:rFonts w:asciiTheme="majorHAnsi" w:hAnsiTheme="majorHAnsi" w:cs="Arial"/>
              </w:rPr>
            </w:pPr>
            <w:r>
              <w:rPr>
                <w:rFonts w:asciiTheme="majorHAnsi" w:hAnsiTheme="majorHAnsi" w:cs="Arial"/>
              </w:rPr>
              <w:t xml:space="preserve">As advised by </w:t>
            </w:r>
            <w:proofErr w:type="gramStart"/>
            <w:r w:rsidR="001F7A2A" w:rsidRPr="003615DF">
              <w:rPr>
                <w:rFonts w:asciiTheme="majorHAnsi" w:hAnsiTheme="majorHAnsi" w:cs="Arial"/>
              </w:rPr>
              <w:t>JS(</w:t>
            </w:r>
            <w:proofErr w:type="gramEnd"/>
            <w:r w:rsidR="001F7A2A" w:rsidRPr="003615DF">
              <w:rPr>
                <w:rFonts w:asciiTheme="majorHAnsi" w:hAnsiTheme="majorHAnsi" w:cs="Arial"/>
              </w:rPr>
              <w:t xml:space="preserve">SK) </w:t>
            </w:r>
            <w:r>
              <w:rPr>
                <w:rFonts w:asciiTheme="majorHAnsi" w:hAnsiTheme="majorHAnsi" w:cs="Arial"/>
              </w:rPr>
              <w:t xml:space="preserve">a </w:t>
            </w:r>
            <w:r w:rsidR="001F7A2A" w:rsidRPr="003615DF">
              <w:rPr>
                <w:rFonts w:asciiTheme="majorHAnsi" w:hAnsiTheme="majorHAnsi" w:cs="Arial"/>
              </w:rPr>
              <w:t xml:space="preserve">note giving </w:t>
            </w:r>
            <w:r>
              <w:rPr>
                <w:rFonts w:asciiTheme="majorHAnsi" w:hAnsiTheme="majorHAnsi" w:cs="Arial"/>
              </w:rPr>
              <w:t xml:space="preserve">all </w:t>
            </w:r>
            <w:r w:rsidR="001F7A2A" w:rsidRPr="003615DF">
              <w:rPr>
                <w:rFonts w:asciiTheme="majorHAnsi" w:hAnsiTheme="majorHAnsi" w:cs="Arial"/>
              </w:rPr>
              <w:t xml:space="preserve">details and specifying reasons for providing such exception to Books </w:t>
            </w:r>
            <w:r w:rsidR="00661736">
              <w:rPr>
                <w:rFonts w:asciiTheme="majorHAnsi" w:hAnsiTheme="majorHAnsi" w:cs="Arial"/>
              </w:rPr>
              <w:t>sent to the dept.</w:t>
            </w:r>
          </w:p>
          <w:p w:rsidR="001F7A2A" w:rsidRPr="003615DF" w:rsidRDefault="001F7A2A" w:rsidP="003615DF">
            <w:pPr>
              <w:pStyle w:val="NoSpacing"/>
              <w:ind w:right="-64"/>
              <w:jc w:val="both"/>
              <w:rPr>
                <w:rFonts w:asciiTheme="majorHAnsi" w:hAnsiTheme="majorHAnsi" w:cs="Arial"/>
              </w:rPr>
            </w:pPr>
            <w:r w:rsidRPr="003615DF">
              <w:rPr>
                <w:rFonts w:asciiTheme="majorHAnsi" w:hAnsiTheme="majorHAnsi" w:cs="Arial"/>
                <w:b/>
              </w:rPr>
              <w:t xml:space="preserve">Note sent by CAPEXIL:  </w:t>
            </w:r>
            <w:r w:rsidRPr="003615DF">
              <w:rPr>
                <w:rFonts w:asciiTheme="majorHAnsi" w:hAnsiTheme="majorHAnsi" w:cs="Arial"/>
              </w:rPr>
              <w:t>It is insisted by banks to process credit on receipt of intimation when name of remitter in the bank’s inward payment transfer advice is other than the importer. This happens when the importer is doing business in more than one name and remit from the bank account in the name other than the importing company.</w:t>
            </w:r>
            <w:r w:rsidRPr="003615DF">
              <w:rPr>
                <w:rStyle w:val="apple-converted-space"/>
                <w:rFonts w:asciiTheme="majorHAnsi" w:hAnsiTheme="majorHAnsi" w:cs="Arial"/>
                <w:b/>
                <w:bCs/>
                <w:shd w:val="clear" w:color="auto" w:fill="FFFFFF"/>
              </w:rPr>
              <w:t> </w:t>
            </w:r>
          </w:p>
        </w:tc>
      </w:tr>
      <w:tr w:rsidR="00AD6195" w:rsidRPr="003615DF" w:rsidTr="001F7A2A">
        <w:trPr>
          <w:trHeight w:val="230"/>
          <w:jc w:val="center"/>
        </w:trPr>
        <w:tc>
          <w:tcPr>
            <w:tcW w:w="3514" w:type="dxa"/>
          </w:tcPr>
          <w:p w:rsidR="00AD6195" w:rsidRDefault="00AD6195" w:rsidP="003615DF">
            <w:pPr>
              <w:pStyle w:val="NoSpacing"/>
              <w:ind w:right="-64"/>
              <w:jc w:val="both"/>
              <w:rPr>
                <w:rFonts w:asciiTheme="majorHAnsi" w:hAnsiTheme="majorHAnsi" w:cs="Arial"/>
              </w:rPr>
            </w:pPr>
            <w:r>
              <w:rPr>
                <w:rFonts w:asciiTheme="majorHAnsi" w:hAnsiTheme="majorHAnsi" w:cs="Arial"/>
              </w:rPr>
              <w:t>7) Sell of Publishers right</w:t>
            </w:r>
            <w:bookmarkStart w:id="0" w:name="_GoBack"/>
            <w:bookmarkEnd w:id="0"/>
          </w:p>
        </w:tc>
        <w:tc>
          <w:tcPr>
            <w:tcW w:w="11660" w:type="dxa"/>
          </w:tcPr>
          <w:p w:rsidR="00AD6195" w:rsidRDefault="00AD6195" w:rsidP="003615DF">
            <w:pPr>
              <w:pStyle w:val="NoSpacing"/>
              <w:ind w:right="-64"/>
              <w:jc w:val="both"/>
              <w:rPr>
                <w:rFonts w:asciiTheme="majorHAnsi" w:hAnsiTheme="majorHAnsi" w:cs="Arial"/>
              </w:rPr>
            </w:pPr>
            <w:r w:rsidRPr="00AD6195">
              <w:rPr>
                <w:rFonts w:asciiTheme="majorHAnsi" w:hAnsiTheme="majorHAnsi" w:cs="Arial"/>
              </w:rPr>
              <w:t>Now-a-days publishers do sell rights (publishing rights for a particular territory or translation rights into a foreign language). S</w:t>
            </w:r>
            <w:r>
              <w:rPr>
                <w:rFonts w:asciiTheme="majorHAnsi" w:hAnsiTheme="majorHAnsi" w:cs="Arial"/>
              </w:rPr>
              <w:t>uch sales need to be recognized.</w:t>
            </w:r>
          </w:p>
        </w:tc>
      </w:tr>
    </w:tbl>
    <w:p w:rsidR="006F6DCB" w:rsidRDefault="006F6DCB" w:rsidP="00297C95">
      <w:pPr>
        <w:spacing w:after="0" w:line="240" w:lineRule="auto"/>
        <w:jc w:val="center"/>
        <w:rPr>
          <w:rFonts w:asciiTheme="majorHAnsi" w:hAnsiTheme="majorHAnsi" w:cs="Arial"/>
        </w:rPr>
      </w:pPr>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7E8" w:rsidRDefault="002007E8" w:rsidP="002B073E">
      <w:pPr>
        <w:spacing w:after="0" w:line="240" w:lineRule="auto"/>
      </w:pPr>
      <w:r>
        <w:separator/>
      </w:r>
    </w:p>
  </w:endnote>
  <w:endnote w:type="continuationSeparator" w:id="0">
    <w:p w:rsidR="002007E8" w:rsidRDefault="002007E8"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AD6195">
          <w:rPr>
            <w:noProof/>
          </w:rPr>
          <w:t>1</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7E8" w:rsidRDefault="002007E8" w:rsidP="002B073E">
      <w:pPr>
        <w:spacing w:after="0" w:line="240" w:lineRule="auto"/>
      </w:pPr>
      <w:r>
        <w:separator/>
      </w:r>
    </w:p>
  </w:footnote>
  <w:footnote w:type="continuationSeparator" w:id="0">
    <w:p w:rsidR="002007E8" w:rsidRDefault="002007E8"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07E8"/>
    <w:rsid w:val="00201F40"/>
    <w:rsid w:val="002177B8"/>
    <w:rsid w:val="002213DA"/>
    <w:rsid w:val="00226EBC"/>
    <w:rsid w:val="002319C8"/>
    <w:rsid w:val="00247CE0"/>
    <w:rsid w:val="002575EC"/>
    <w:rsid w:val="00265A7F"/>
    <w:rsid w:val="00266036"/>
    <w:rsid w:val="00270290"/>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25213"/>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6195"/>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208</cp:revision>
  <cp:lastPrinted>2016-11-23T05:58:00Z</cp:lastPrinted>
  <dcterms:created xsi:type="dcterms:W3CDTF">2016-10-25T05:39:00Z</dcterms:created>
  <dcterms:modified xsi:type="dcterms:W3CDTF">2017-09-07T12:36:00Z</dcterms:modified>
</cp:coreProperties>
</file>